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96A11" w14:textId="77777777" w:rsidR="00E22C22" w:rsidRDefault="00A45706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SimSun" w:hint="eastAsia"/>
          <w:sz w:val="20"/>
          <w:lang w:eastAsia="zh-CN"/>
        </w:rPr>
        <w:instrText>ADDIN CNKISM.UserStyle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end"/>
      </w:r>
      <w:r>
        <w:rPr>
          <w:rFonts w:ascii="Times New Roman"/>
          <w:noProof/>
          <w:sz w:val="20"/>
          <w:lang w:eastAsia="zh-CN"/>
        </w:rPr>
        <w:drawing>
          <wp:inline distT="0" distB="0" distL="0" distR="0" wp14:anchorId="7473CC5A" wp14:editId="1973A1D1">
            <wp:extent cx="2216150" cy="8235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159" cy="82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704CA" w14:textId="77777777" w:rsidR="00E22C22" w:rsidRDefault="00E22C22">
      <w:pPr>
        <w:pStyle w:val="BodyText"/>
        <w:rPr>
          <w:rFonts w:ascii="Times New Roman"/>
          <w:sz w:val="20"/>
        </w:rPr>
      </w:pPr>
    </w:p>
    <w:p w14:paraId="0E8F8178" w14:textId="77777777" w:rsidR="00E22C22" w:rsidRDefault="00E22C22">
      <w:pPr>
        <w:pStyle w:val="BodyText"/>
        <w:rPr>
          <w:rFonts w:ascii="Times New Roman"/>
          <w:sz w:val="20"/>
        </w:rPr>
      </w:pPr>
    </w:p>
    <w:p w14:paraId="32668208" w14:textId="77777777" w:rsidR="00E22C22" w:rsidRDefault="00A45706">
      <w:pPr>
        <w:pStyle w:val="Title"/>
      </w:pPr>
      <w:r>
        <w:t>UNNC Students Leaving Form</w:t>
      </w:r>
    </w:p>
    <w:p w14:paraId="2197318B" w14:textId="77777777" w:rsidR="00E22C22" w:rsidRDefault="00E22C22">
      <w:pPr>
        <w:pStyle w:val="BodyText"/>
        <w:rPr>
          <w:b/>
          <w:sz w:val="26"/>
        </w:rPr>
      </w:pPr>
    </w:p>
    <w:p w14:paraId="405463A8" w14:textId="77777777" w:rsidR="00E22C22" w:rsidRDefault="00A45706">
      <w:pPr>
        <w:tabs>
          <w:tab w:val="left" w:pos="1881"/>
          <w:tab w:val="left" w:pos="3540"/>
        </w:tabs>
        <w:spacing w:before="234"/>
        <w:ind w:left="259"/>
        <w:rPr>
          <w:b/>
          <w:sz w:val="35"/>
        </w:rPr>
      </w:pPr>
      <w:r>
        <w:rPr>
          <w:b/>
          <w:sz w:val="17"/>
        </w:rPr>
        <w:t>Suspension</w:t>
      </w:r>
      <w:r>
        <w:rPr>
          <w:b/>
          <w:spacing w:val="33"/>
          <w:sz w:val="17"/>
        </w:rPr>
        <w:t xml:space="preserve"> </w:t>
      </w:r>
      <w:r>
        <w:rPr>
          <w:b/>
          <w:sz w:val="35"/>
        </w:rPr>
        <w:t>□</w:t>
      </w:r>
      <w:r>
        <w:rPr>
          <w:b/>
          <w:sz w:val="35"/>
        </w:rPr>
        <w:tab/>
      </w:r>
      <w:r>
        <w:rPr>
          <w:b/>
          <w:sz w:val="17"/>
        </w:rPr>
        <w:t>Withdrawal</w:t>
      </w:r>
      <w:r>
        <w:rPr>
          <w:b/>
          <w:spacing w:val="32"/>
          <w:sz w:val="17"/>
        </w:rPr>
        <w:t xml:space="preserve"> </w:t>
      </w:r>
      <w:r>
        <w:rPr>
          <w:b/>
          <w:sz w:val="35"/>
        </w:rPr>
        <w:t>□</w:t>
      </w:r>
      <w:r>
        <w:rPr>
          <w:b/>
          <w:sz w:val="35"/>
        </w:rPr>
        <w:tab/>
      </w:r>
      <w:r>
        <w:rPr>
          <w:b/>
          <w:sz w:val="17"/>
        </w:rPr>
        <w:t>Termination</w:t>
      </w:r>
      <w:r>
        <w:rPr>
          <w:b/>
          <w:spacing w:val="36"/>
          <w:sz w:val="17"/>
        </w:rPr>
        <w:t xml:space="preserve"> </w:t>
      </w:r>
      <w:r>
        <w:rPr>
          <w:b/>
          <w:sz w:val="35"/>
        </w:rPr>
        <w:t>□</w:t>
      </w:r>
    </w:p>
    <w:p w14:paraId="00800CC9" w14:textId="52ADF943" w:rsidR="00E22C22" w:rsidRDefault="00A45706">
      <w:pPr>
        <w:pStyle w:val="BodyText"/>
        <w:tabs>
          <w:tab w:val="left" w:pos="3655"/>
          <w:tab w:val="left" w:pos="5405"/>
          <w:tab w:val="left" w:pos="10320"/>
        </w:tabs>
        <w:spacing w:before="194"/>
        <w:ind w:left="256"/>
      </w:pPr>
      <w:r>
        <w:rPr>
          <w:w w:val="105"/>
        </w:rPr>
        <w:t>Student</w:t>
      </w:r>
      <w:r>
        <w:rPr>
          <w:spacing w:val="-13"/>
          <w:w w:val="105"/>
        </w:rPr>
        <w:t xml:space="preserve"> </w:t>
      </w:r>
      <w:r>
        <w:rPr>
          <w:w w:val="105"/>
        </w:rPr>
        <w:t>ID:</w:t>
      </w:r>
      <w:r>
        <w:rPr>
          <w:w w:val="105"/>
          <w:u w:val="single"/>
        </w:rPr>
        <w:tab/>
      </w:r>
      <w:r>
        <w:rPr>
          <w:w w:val="105"/>
        </w:rPr>
        <w:tab/>
        <w:t>Student</w:t>
      </w:r>
      <w:r>
        <w:rPr>
          <w:spacing w:val="-39"/>
          <w:w w:val="105"/>
        </w:rPr>
        <w:t xml:space="preserve"> </w:t>
      </w:r>
      <w:r>
        <w:rPr>
          <w:w w:val="105"/>
        </w:rPr>
        <w:t>Name: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4B772BF3" w14:textId="77777777" w:rsidR="00E22C22" w:rsidRDefault="00E22C22">
      <w:pPr>
        <w:pStyle w:val="BodyText"/>
        <w:spacing w:before="8"/>
        <w:rPr>
          <w:sz w:val="12"/>
        </w:rPr>
      </w:pPr>
    </w:p>
    <w:p w14:paraId="35DDD435" w14:textId="108E8151" w:rsidR="00E22C22" w:rsidRDefault="00A45706">
      <w:pPr>
        <w:pStyle w:val="BodyText"/>
        <w:tabs>
          <w:tab w:val="left" w:pos="3655"/>
          <w:tab w:val="left" w:pos="5408"/>
          <w:tab w:val="left" w:pos="10342"/>
        </w:tabs>
        <w:spacing w:before="101"/>
        <w:ind w:left="256"/>
      </w:pPr>
      <w:r>
        <w:t>Year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Course: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Course</w:t>
      </w:r>
      <w:r>
        <w:rPr>
          <w:spacing w:val="30"/>
        </w:rPr>
        <w:t xml:space="preserve"> </w:t>
      </w:r>
      <w:r>
        <w:t>Title:</w:t>
      </w:r>
      <w:r>
        <w:rPr>
          <w:u w:val="single"/>
        </w:rPr>
        <w:tab/>
      </w:r>
    </w:p>
    <w:p w14:paraId="1A22CCC6" w14:textId="77777777" w:rsidR="00E22C22" w:rsidRDefault="00E22C22">
      <w:pPr>
        <w:pStyle w:val="BodyText"/>
        <w:spacing w:before="3"/>
        <w:rPr>
          <w:sz w:val="29"/>
        </w:rPr>
      </w:pPr>
    </w:p>
    <w:p w14:paraId="44168166" w14:textId="77777777" w:rsidR="00E22C22" w:rsidRDefault="00A45706">
      <w:pPr>
        <w:pStyle w:val="BodyText"/>
        <w:tabs>
          <w:tab w:val="left" w:pos="4132"/>
          <w:tab w:val="left" w:pos="4498"/>
          <w:tab w:val="left" w:pos="7550"/>
        </w:tabs>
        <w:spacing w:before="101"/>
        <w:ind w:left="256"/>
      </w:pP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w w:val="97"/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14:paraId="2E6F0C1C" w14:textId="77777777" w:rsidR="00E22C22" w:rsidRDefault="00E22C22">
      <w:pPr>
        <w:pStyle w:val="BodyText"/>
        <w:spacing w:before="2"/>
        <w:rPr>
          <w:sz w:val="14"/>
        </w:rPr>
      </w:pPr>
    </w:p>
    <w:p w14:paraId="753050C8" w14:textId="77777777" w:rsidR="00E22C22" w:rsidRDefault="00A45706">
      <w:pPr>
        <w:pStyle w:val="BodyText"/>
        <w:spacing w:before="101" w:after="51"/>
        <w:ind w:left="256"/>
      </w:pPr>
      <w:r>
        <w:t>*Please follow the steps one by one in order.</w:t>
      </w:r>
    </w:p>
    <w:tbl>
      <w:tblPr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377"/>
        <w:gridCol w:w="2999"/>
        <w:gridCol w:w="1882"/>
      </w:tblGrid>
      <w:tr w:rsidR="00E22C22" w14:paraId="09CDA1C3" w14:textId="77777777">
        <w:trPr>
          <w:trHeight w:val="428"/>
        </w:trPr>
        <w:tc>
          <w:tcPr>
            <w:tcW w:w="2775" w:type="dxa"/>
          </w:tcPr>
          <w:p w14:paraId="5997F4DA" w14:textId="77777777" w:rsidR="00E22C22" w:rsidRDefault="00E22C2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76" w:type="dxa"/>
            <w:gridSpan w:val="2"/>
          </w:tcPr>
          <w:p w14:paraId="35993420" w14:textId="77777777" w:rsidR="00E22C22" w:rsidRDefault="00A45706">
            <w:pPr>
              <w:pStyle w:val="TableParagraph"/>
              <w:spacing w:before="103"/>
              <w:ind w:left="35"/>
              <w:rPr>
                <w:sz w:val="17"/>
              </w:rPr>
            </w:pPr>
            <w:r>
              <w:rPr>
                <w:sz w:val="17"/>
              </w:rPr>
              <w:t>Checklist &amp; Info to Students</w:t>
            </w:r>
          </w:p>
        </w:tc>
        <w:tc>
          <w:tcPr>
            <w:tcW w:w="1882" w:type="dxa"/>
          </w:tcPr>
          <w:p w14:paraId="51717CCD" w14:textId="77777777" w:rsidR="00E22C22" w:rsidRDefault="00A45706">
            <w:pPr>
              <w:pStyle w:val="TableParagraph"/>
              <w:spacing w:before="103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Comment</w:t>
            </w:r>
          </w:p>
        </w:tc>
      </w:tr>
      <w:tr w:rsidR="00E22C22" w14:paraId="7EC33630" w14:textId="77777777">
        <w:trPr>
          <w:trHeight w:val="851"/>
        </w:trPr>
        <w:tc>
          <w:tcPr>
            <w:tcW w:w="2775" w:type="dxa"/>
            <w:vMerge w:val="restart"/>
          </w:tcPr>
          <w:p w14:paraId="30C36EC9" w14:textId="77777777" w:rsidR="00E22C22" w:rsidRDefault="00E22C22">
            <w:pPr>
              <w:pStyle w:val="TableParagraph"/>
              <w:ind w:left="0"/>
              <w:rPr>
                <w:sz w:val="20"/>
              </w:rPr>
            </w:pPr>
          </w:p>
          <w:p w14:paraId="547DF0A8" w14:textId="77777777" w:rsidR="00E22C22" w:rsidRDefault="00A45706">
            <w:pPr>
              <w:pStyle w:val="TableParagraph"/>
              <w:spacing w:before="141" w:line="256" w:lineRule="auto"/>
              <w:ind w:right="19"/>
              <w:rPr>
                <w:sz w:val="16"/>
              </w:rPr>
            </w:pPr>
            <w:r>
              <w:rPr>
                <w:sz w:val="16"/>
              </w:rPr>
              <w:t>Step 1: Library Services (if applicable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Library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Enquiry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Desk)</w:t>
            </w:r>
          </w:p>
        </w:tc>
        <w:tc>
          <w:tcPr>
            <w:tcW w:w="5376" w:type="dxa"/>
            <w:gridSpan w:val="2"/>
          </w:tcPr>
          <w:p w14:paraId="7E863C7D" w14:textId="77777777" w:rsidR="00E22C22" w:rsidRDefault="00A45706">
            <w:pPr>
              <w:pStyle w:val="TableParagraph"/>
              <w:spacing w:line="261" w:lineRule="auto"/>
              <w:ind w:right="439"/>
              <w:rPr>
                <w:sz w:val="16"/>
              </w:rPr>
            </w:pPr>
            <w:r>
              <w:rPr>
                <w:sz w:val="16"/>
              </w:rPr>
              <w:t xml:space="preserve">1. Library accounts (UNNC Library &amp; Ningbo </w:t>
            </w:r>
            <w:r>
              <w:rPr>
                <w:sz w:val="16"/>
              </w:rPr>
              <w:t>University Zone Library)</w:t>
            </w:r>
          </w:p>
          <w:p w14:paraId="7ECB70FB" w14:textId="77777777" w:rsidR="00E22C22" w:rsidRDefault="00A45706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return books on loan, clear library fines at the library enquiry</w:t>
            </w:r>
          </w:p>
          <w:p w14:paraId="5DBA4AD6" w14:textId="77777777" w:rsidR="00E22C22" w:rsidRDefault="00A45706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desk if you have any related issues</w:t>
            </w:r>
          </w:p>
        </w:tc>
        <w:tc>
          <w:tcPr>
            <w:tcW w:w="1882" w:type="dxa"/>
            <w:vMerge w:val="restart"/>
          </w:tcPr>
          <w:p w14:paraId="4ED5E51C" w14:textId="77777777" w:rsidR="00E22C22" w:rsidRDefault="00E22C2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2C22" w14:paraId="283F2E76" w14:textId="77777777">
        <w:trPr>
          <w:trHeight w:val="323"/>
        </w:trPr>
        <w:tc>
          <w:tcPr>
            <w:tcW w:w="2775" w:type="dxa"/>
            <w:vMerge/>
            <w:tcBorders>
              <w:top w:val="nil"/>
            </w:tcBorders>
          </w:tcPr>
          <w:p w14:paraId="2202D988" w14:textId="77777777" w:rsidR="00E22C22" w:rsidRDefault="00E22C22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2"/>
          </w:tcPr>
          <w:p w14:paraId="62600741" w14:textId="77777777" w:rsidR="00E22C22" w:rsidRDefault="00A45706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2. Library e-door access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14:paraId="19032215" w14:textId="77777777" w:rsidR="00E22C22" w:rsidRDefault="00E22C22">
            <w:pPr>
              <w:rPr>
                <w:sz w:val="2"/>
                <w:szCs w:val="2"/>
              </w:rPr>
            </w:pPr>
          </w:p>
        </w:tc>
      </w:tr>
      <w:tr w:rsidR="00E22C22" w14:paraId="17FBE4CE" w14:textId="77777777">
        <w:trPr>
          <w:trHeight w:val="414"/>
        </w:trPr>
        <w:tc>
          <w:tcPr>
            <w:tcW w:w="2775" w:type="dxa"/>
            <w:vMerge w:val="restart"/>
          </w:tcPr>
          <w:p w14:paraId="1AE62C80" w14:textId="77777777" w:rsidR="00E22C22" w:rsidRDefault="00E22C22">
            <w:pPr>
              <w:pStyle w:val="TableParagraph"/>
              <w:ind w:left="0"/>
              <w:rPr>
                <w:sz w:val="18"/>
              </w:rPr>
            </w:pPr>
          </w:p>
          <w:p w14:paraId="0B45F6DB" w14:textId="77777777" w:rsidR="00E22C22" w:rsidRDefault="00A45706">
            <w:pPr>
              <w:pStyle w:val="TableParagraph"/>
              <w:spacing w:line="256" w:lineRule="auto"/>
              <w:ind w:right="29"/>
              <w:rPr>
                <w:sz w:val="16"/>
              </w:rPr>
            </w:pPr>
            <w:r>
              <w:rPr>
                <w:sz w:val="16"/>
              </w:rPr>
              <w:t>Step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Affairs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Hub; 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Portland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Building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Room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120)</w:t>
            </w:r>
          </w:p>
        </w:tc>
        <w:tc>
          <w:tcPr>
            <w:tcW w:w="5376" w:type="dxa"/>
            <w:gridSpan w:val="2"/>
          </w:tcPr>
          <w:p w14:paraId="161BE68F" w14:textId="77777777" w:rsidR="00E22C22" w:rsidRDefault="00A45706">
            <w:pPr>
              <w:pStyle w:val="TableParagraph"/>
              <w:spacing w:before="99"/>
              <w:rPr>
                <w:sz w:val="16"/>
              </w:rPr>
            </w:pPr>
            <w:r>
              <w:rPr>
                <w:sz w:val="16"/>
              </w:rPr>
              <w:t>1. Student ID booklet</w:t>
            </w:r>
          </w:p>
        </w:tc>
        <w:tc>
          <w:tcPr>
            <w:tcW w:w="1882" w:type="dxa"/>
            <w:vMerge w:val="restart"/>
          </w:tcPr>
          <w:p w14:paraId="4768BBDD" w14:textId="77777777" w:rsidR="00E22C22" w:rsidRDefault="00E22C2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2C22" w14:paraId="357FCB63" w14:textId="77777777">
        <w:trPr>
          <w:trHeight w:val="428"/>
        </w:trPr>
        <w:tc>
          <w:tcPr>
            <w:tcW w:w="2775" w:type="dxa"/>
            <w:vMerge/>
            <w:tcBorders>
              <w:top w:val="nil"/>
            </w:tcBorders>
          </w:tcPr>
          <w:p w14:paraId="35856C4F" w14:textId="77777777" w:rsidR="00E22C22" w:rsidRDefault="00E22C22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2"/>
          </w:tcPr>
          <w:p w14:paraId="5A98D263" w14:textId="77777777" w:rsidR="00E22C22" w:rsidRDefault="00A45706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2. Other</w:t>
            </w:r>
            <w:r>
              <w:rPr>
                <w:sz w:val="16"/>
              </w:rPr>
              <w:t xml:space="preserve"> relevant affairs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14:paraId="33CC08F1" w14:textId="77777777" w:rsidR="00E22C22" w:rsidRDefault="00E22C22">
            <w:pPr>
              <w:rPr>
                <w:sz w:val="2"/>
                <w:szCs w:val="2"/>
              </w:rPr>
            </w:pPr>
          </w:p>
        </w:tc>
      </w:tr>
      <w:tr w:rsidR="00E22C22" w14:paraId="555A62D2" w14:textId="77777777">
        <w:trPr>
          <w:trHeight w:val="976"/>
        </w:trPr>
        <w:tc>
          <w:tcPr>
            <w:tcW w:w="2775" w:type="dxa"/>
          </w:tcPr>
          <w:p w14:paraId="02AA5389" w14:textId="77777777" w:rsidR="00E22C22" w:rsidRDefault="00A45706">
            <w:pPr>
              <w:pStyle w:val="TableParagraph"/>
              <w:spacing w:before="176" w:line="261" w:lineRule="auto"/>
              <w:ind w:right="38"/>
              <w:rPr>
                <w:sz w:val="16"/>
              </w:rPr>
            </w:pPr>
            <w:r>
              <w:rPr>
                <w:sz w:val="16"/>
              </w:rPr>
              <w:t>Step 3: Student Visa (if applicable - The Hub; The Portland Building Room 120)</w:t>
            </w:r>
          </w:p>
        </w:tc>
        <w:tc>
          <w:tcPr>
            <w:tcW w:w="5376" w:type="dxa"/>
            <w:gridSpan w:val="2"/>
          </w:tcPr>
          <w:p w14:paraId="5B535595" w14:textId="77777777" w:rsidR="00E22C22" w:rsidRDefault="00A45706">
            <w:pPr>
              <w:pStyle w:val="TableParagraph"/>
              <w:spacing w:before="169" w:line="259" w:lineRule="auto"/>
              <w:ind w:right="204"/>
              <w:rPr>
                <w:sz w:val="16"/>
              </w:rPr>
            </w:pPr>
            <w:r>
              <w:rPr>
                <w:sz w:val="16"/>
              </w:rPr>
              <w:t xml:space="preserve">1. Student Visa (Change of immigration status for international students only, not including Taiwan, Hong Kong and Macaw, please see details in </w:t>
            </w:r>
            <w:r>
              <w:rPr>
                <w:b/>
                <w:sz w:val="16"/>
              </w:rPr>
              <w:t xml:space="preserve">Note </w:t>
            </w:r>
            <w:r>
              <w:rPr>
                <w:sz w:val="16"/>
              </w:rPr>
              <w:t>below)</w:t>
            </w:r>
          </w:p>
        </w:tc>
        <w:tc>
          <w:tcPr>
            <w:tcW w:w="1882" w:type="dxa"/>
          </w:tcPr>
          <w:p w14:paraId="2707126B" w14:textId="77777777" w:rsidR="00E22C22" w:rsidRDefault="00E22C2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2C22" w14:paraId="05D671A2" w14:textId="77777777">
        <w:trPr>
          <w:trHeight w:val="428"/>
        </w:trPr>
        <w:tc>
          <w:tcPr>
            <w:tcW w:w="2775" w:type="dxa"/>
            <w:vMerge w:val="restart"/>
          </w:tcPr>
          <w:p w14:paraId="078DE4DD" w14:textId="77777777" w:rsidR="00E22C22" w:rsidRDefault="00E22C22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6991AC34" w14:textId="77777777" w:rsidR="00E22C22" w:rsidRDefault="00A45706">
            <w:pPr>
              <w:pStyle w:val="TableParagraph"/>
              <w:spacing w:before="1" w:line="259" w:lineRule="auto"/>
              <w:ind w:right="19"/>
              <w:rPr>
                <w:sz w:val="16"/>
              </w:rPr>
            </w:pPr>
            <w:r>
              <w:rPr>
                <w:sz w:val="16"/>
              </w:rPr>
              <w:t>Step 4: Fees and Payment (The Hub; The Portland Building Room 120)</w:t>
            </w:r>
          </w:p>
        </w:tc>
        <w:tc>
          <w:tcPr>
            <w:tcW w:w="2377" w:type="dxa"/>
          </w:tcPr>
          <w:p w14:paraId="14883065" w14:textId="77777777" w:rsidR="00E22C22" w:rsidRDefault="00A45706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1. Tuition</w:t>
            </w:r>
          </w:p>
        </w:tc>
        <w:tc>
          <w:tcPr>
            <w:tcW w:w="2999" w:type="dxa"/>
            <w:vMerge w:val="restart"/>
          </w:tcPr>
          <w:p w14:paraId="47B53C94" w14:textId="77777777" w:rsidR="00E22C22" w:rsidRDefault="00A45706" w:rsidP="00032DDC">
            <w:pPr>
              <w:pStyle w:val="TableParagraph"/>
              <w:spacing w:before="96" w:line="259" w:lineRule="auto"/>
              <w:ind w:left="32" w:right="3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Finance office will process your refund within </w:t>
            </w:r>
            <w:r w:rsidR="00032DDC">
              <w:rPr>
                <w:rFonts w:eastAsia="SimSun"/>
                <w:b/>
                <w:sz w:val="16"/>
                <w:lang w:eastAsia="zh-CN"/>
              </w:rPr>
              <w:t>15</w:t>
            </w:r>
            <w:r>
              <w:rPr>
                <w:b/>
                <w:sz w:val="16"/>
              </w:rPr>
              <w:t xml:space="preserve"> work days after you submitting the leaving form to The Hub.</w:t>
            </w:r>
          </w:p>
        </w:tc>
        <w:tc>
          <w:tcPr>
            <w:tcW w:w="1882" w:type="dxa"/>
            <w:vMerge w:val="restart"/>
          </w:tcPr>
          <w:p w14:paraId="0EE1C1DA" w14:textId="77777777" w:rsidR="00E22C22" w:rsidRDefault="00E22C2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2C22" w14:paraId="1D1FBDC7" w14:textId="77777777">
        <w:trPr>
          <w:trHeight w:val="299"/>
        </w:trPr>
        <w:tc>
          <w:tcPr>
            <w:tcW w:w="2775" w:type="dxa"/>
            <w:vMerge/>
            <w:tcBorders>
              <w:top w:val="nil"/>
            </w:tcBorders>
          </w:tcPr>
          <w:p w14:paraId="0ED2187D" w14:textId="77777777" w:rsidR="00E22C22" w:rsidRDefault="00E22C22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</w:tcPr>
          <w:p w14:paraId="2D023593" w14:textId="77777777" w:rsidR="00E22C22" w:rsidRDefault="00A45706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2. Textbook fee refund</w:t>
            </w:r>
          </w:p>
        </w:tc>
        <w:tc>
          <w:tcPr>
            <w:tcW w:w="2999" w:type="dxa"/>
            <w:vMerge/>
            <w:tcBorders>
              <w:top w:val="nil"/>
            </w:tcBorders>
          </w:tcPr>
          <w:p w14:paraId="48CE0ACA" w14:textId="77777777" w:rsidR="00E22C22" w:rsidRDefault="00E22C22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14:paraId="2380BEAD" w14:textId="77777777" w:rsidR="00E22C22" w:rsidRDefault="00E22C22">
            <w:pPr>
              <w:rPr>
                <w:sz w:val="2"/>
                <w:szCs w:val="2"/>
              </w:rPr>
            </w:pPr>
          </w:p>
        </w:tc>
      </w:tr>
      <w:tr w:rsidR="00E22C22" w14:paraId="363FB190" w14:textId="77777777">
        <w:trPr>
          <w:trHeight w:val="272"/>
        </w:trPr>
        <w:tc>
          <w:tcPr>
            <w:tcW w:w="2775" w:type="dxa"/>
            <w:vMerge/>
            <w:tcBorders>
              <w:top w:val="nil"/>
            </w:tcBorders>
          </w:tcPr>
          <w:p w14:paraId="65C04758" w14:textId="77777777" w:rsidR="00E22C22" w:rsidRDefault="00E22C22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</w:tcPr>
          <w:p w14:paraId="1C7DE2D2" w14:textId="77777777" w:rsidR="00E22C22" w:rsidRDefault="00A45706"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3. Bills</w:t>
            </w:r>
          </w:p>
        </w:tc>
        <w:tc>
          <w:tcPr>
            <w:tcW w:w="2999" w:type="dxa"/>
            <w:vMerge/>
            <w:tcBorders>
              <w:top w:val="nil"/>
            </w:tcBorders>
          </w:tcPr>
          <w:p w14:paraId="247362B0" w14:textId="77777777" w:rsidR="00E22C22" w:rsidRDefault="00E22C22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14:paraId="799DCFF4" w14:textId="77777777" w:rsidR="00E22C22" w:rsidRDefault="00E22C22">
            <w:pPr>
              <w:rPr>
                <w:sz w:val="2"/>
                <w:szCs w:val="2"/>
              </w:rPr>
            </w:pPr>
          </w:p>
        </w:tc>
      </w:tr>
      <w:tr w:rsidR="00E22C22" w14:paraId="642FF62B" w14:textId="77777777">
        <w:trPr>
          <w:trHeight w:val="272"/>
        </w:trPr>
        <w:tc>
          <w:tcPr>
            <w:tcW w:w="2775" w:type="dxa"/>
            <w:vMerge w:val="restart"/>
          </w:tcPr>
          <w:p w14:paraId="448BA6C5" w14:textId="77777777" w:rsidR="00E22C22" w:rsidRDefault="00E22C22">
            <w:pPr>
              <w:pStyle w:val="TableParagraph"/>
              <w:ind w:left="0"/>
              <w:rPr>
                <w:sz w:val="20"/>
              </w:rPr>
            </w:pPr>
          </w:p>
          <w:p w14:paraId="3C89BC04" w14:textId="77777777" w:rsidR="00E22C22" w:rsidRDefault="00A45706">
            <w:pPr>
              <w:pStyle w:val="TableParagraph"/>
              <w:spacing w:before="161" w:line="259" w:lineRule="auto"/>
              <w:ind w:right="168"/>
              <w:jc w:val="both"/>
              <w:rPr>
                <w:sz w:val="16"/>
              </w:rPr>
            </w:pPr>
            <w:r>
              <w:rPr>
                <w:sz w:val="16"/>
              </w:rPr>
              <w:t xml:space="preserve">Step 5: LAC &amp;Student </w:t>
            </w:r>
            <w:r>
              <w:rPr>
                <w:sz w:val="16"/>
              </w:rPr>
              <w:t>Financial Centre (Accommodation Office on High Street)</w:t>
            </w:r>
          </w:p>
        </w:tc>
        <w:tc>
          <w:tcPr>
            <w:tcW w:w="5376" w:type="dxa"/>
            <w:gridSpan w:val="2"/>
          </w:tcPr>
          <w:p w14:paraId="0AFEC73D" w14:textId="77777777" w:rsidR="00E22C22" w:rsidRDefault="00A45706"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1. Accommodation fees refund</w:t>
            </w:r>
          </w:p>
        </w:tc>
        <w:tc>
          <w:tcPr>
            <w:tcW w:w="1882" w:type="dxa"/>
            <w:vMerge w:val="restart"/>
          </w:tcPr>
          <w:p w14:paraId="6B2E2435" w14:textId="77777777" w:rsidR="00E22C22" w:rsidRDefault="00E22C2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2C22" w14:paraId="59FB8738" w14:textId="77777777">
        <w:trPr>
          <w:trHeight w:val="272"/>
        </w:trPr>
        <w:tc>
          <w:tcPr>
            <w:tcW w:w="2775" w:type="dxa"/>
            <w:vMerge/>
            <w:tcBorders>
              <w:top w:val="nil"/>
            </w:tcBorders>
          </w:tcPr>
          <w:p w14:paraId="1F03C5A3" w14:textId="77777777" w:rsidR="00E22C22" w:rsidRDefault="00E22C22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2"/>
          </w:tcPr>
          <w:p w14:paraId="6EC1B4E9" w14:textId="77777777" w:rsidR="00E22C22" w:rsidRDefault="00A45706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2. Bills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14:paraId="18463F6A" w14:textId="77777777" w:rsidR="00E22C22" w:rsidRDefault="00E22C22">
            <w:pPr>
              <w:rPr>
                <w:sz w:val="2"/>
                <w:szCs w:val="2"/>
              </w:rPr>
            </w:pPr>
          </w:p>
        </w:tc>
      </w:tr>
      <w:tr w:rsidR="00E22C22" w14:paraId="6D2F508A" w14:textId="77777777">
        <w:trPr>
          <w:trHeight w:val="272"/>
        </w:trPr>
        <w:tc>
          <w:tcPr>
            <w:tcW w:w="2775" w:type="dxa"/>
            <w:vMerge/>
            <w:tcBorders>
              <w:top w:val="nil"/>
            </w:tcBorders>
          </w:tcPr>
          <w:p w14:paraId="217F54A6" w14:textId="77777777" w:rsidR="00E22C22" w:rsidRDefault="00E22C22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2"/>
          </w:tcPr>
          <w:p w14:paraId="2CDF2DF6" w14:textId="77777777" w:rsidR="00E22C22" w:rsidRDefault="00A45706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3 Keys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14:paraId="08F2FF0D" w14:textId="77777777" w:rsidR="00E22C22" w:rsidRDefault="00E22C22">
            <w:pPr>
              <w:rPr>
                <w:sz w:val="2"/>
                <w:szCs w:val="2"/>
              </w:rPr>
            </w:pPr>
          </w:p>
        </w:tc>
      </w:tr>
      <w:tr w:rsidR="00E22C22" w14:paraId="5BD5087F" w14:textId="77777777">
        <w:trPr>
          <w:trHeight w:val="272"/>
        </w:trPr>
        <w:tc>
          <w:tcPr>
            <w:tcW w:w="2775" w:type="dxa"/>
            <w:vMerge/>
            <w:tcBorders>
              <w:top w:val="nil"/>
            </w:tcBorders>
          </w:tcPr>
          <w:p w14:paraId="4B31AE86" w14:textId="77777777" w:rsidR="00E22C22" w:rsidRDefault="00E22C22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2"/>
          </w:tcPr>
          <w:p w14:paraId="4C013634" w14:textId="77777777" w:rsidR="00E22C22" w:rsidRDefault="00A45706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4 Facilities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14:paraId="65893577" w14:textId="77777777" w:rsidR="00E22C22" w:rsidRDefault="00E22C22">
            <w:pPr>
              <w:rPr>
                <w:sz w:val="2"/>
                <w:szCs w:val="2"/>
              </w:rPr>
            </w:pPr>
          </w:p>
        </w:tc>
      </w:tr>
      <w:tr w:rsidR="00E22C22" w14:paraId="71D5CDAF" w14:textId="77777777">
        <w:trPr>
          <w:trHeight w:val="272"/>
        </w:trPr>
        <w:tc>
          <w:tcPr>
            <w:tcW w:w="2775" w:type="dxa"/>
            <w:vMerge/>
            <w:tcBorders>
              <w:top w:val="nil"/>
            </w:tcBorders>
          </w:tcPr>
          <w:p w14:paraId="16B3CA0E" w14:textId="77777777" w:rsidR="00E22C22" w:rsidRDefault="00E22C22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2"/>
          </w:tcPr>
          <w:p w14:paraId="0A5B2D5E" w14:textId="77777777" w:rsidR="00E22C22" w:rsidRDefault="00A45706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5. Smart Card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14:paraId="66E81E0D" w14:textId="77777777" w:rsidR="00E22C22" w:rsidRDefault="00E22C22">
            <w:pPr>
              <w:rPr>
                <w:sz w:val="2"/>
                <w:szCs w:val="2"/>
              </w:rPr>
            </w:pPr>
          </w:p>
        </w:tc>
      </w:tr>
    </w:tbl>
    <w:p w14:paraId="3240A12B" w14:textId="77777777" w:rsidR="00E22C22" w:rsidRDefault="00A45706">
      <w:pPr>
        <w:pStyle w:val="BodyText"/>
        <w:spacing w:before="64" w:line="264" w:lineRule="auto"/>
        <w:ind w:left="256" w:right="462"/>
      </w:pPr>
      <w:r>
        <w:rPr>
          <w:b/>
        </w:rPr>
        <w:t>Note</w:t>
      </w:r>
      <w:r>
        <w:t xml:space="preserve">: If you are classed as an international student, you must contact the Global Engagement Office to determine </w:t>
      </w:r>
      <w:r>
        <w:t xml:space="preserve">the implications of your </w:t>
      </w:r>
      <w:r w:rsidR="00032DDC">
        <w:t>withdrawal or</w:t>
      </w:r>
      <w:r>
        <w:t xml:space="preserve"> </w:t>
      </w:r>
      <w:r w:rsidR="00032DDC">
        <w:t>suspension will</w:t>
      </w:r>
      <w:r>
        <w:t xml:space="preserve"> have on your </w:t>
      </w:r>
      <w:r w:rsidR="00032DDC">
        <w:t>student visa</w:t>
      </w:r>
      <w:r>
        <w:t xml:space="preserve"> and your entitlement to remain in China. The Global Engagement Office has the responsibility to report to the local immigration department to change your visa or </w:t>
      </w:r>
      <w:r w:rsidR="00032DDC">
        <w:t>residence permit</w:t>
      </w:r>
      <w:r>
        <w:t xml:space="preserve"> status based on the updated study length </w:t>
      </w:r>
      <w:r w:rsidR="00032DDC">
        <w:t>at the</w:t>
      </w:r>
      <w:r>
        <w:t xml:space="preserve"> University. Please bring your original passport, a copy of your withdrawal or suspension form together with two passport photos to The Hub. Student will be responsible for any fees</w:t>
      </w:r>
      <w:r>
        <w:rPr>
          <w:spacing w:val="-4"/>
        </w:rPr>
        <w:t xml:space="preserve"> </w:t>
      </w:r>
      <w:r>
        <w:t>incurred.</w:t>
      </w:r>
    </w:p>
    <w:sectPr w:rsidR="00E22C22">
      <w:type w:val="continuous"/>
      <w:pgSz w:w="11930" w:h="16850"/>
      <w:pgMar w:top="620" w:right="11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22"/>
    <w:rsid w:val="00032DDC"/>
    <w:rsid w:val="00A45706"/>
    <w:rsid w:val="00E22C22"/>
    <w:rsid w:val="00E67A5C"/>
    <w:rsid w:val="42FA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69DD"/>
  <w15:docId w15:val="{CAF8D082-F907-44BC-A854-B1FBBAC7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"/>
    <w:qFormat/>
    <w:pPr>
      <w:spacing w:before="223"/>
      <w:ind w:left="3857"/>
    </w:pPr>
    <w:rPr>
      <w:b/>
      <w:bCs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77AA187729949828378F4771635DF" ma:contentTypeVersion="8" ma:contentTypeDescription="Create a new document." ma:contentTypeScope="" ma:versionID="e0405b5135c622724f4b49b8454b9151">
  <xsd:schema xmlns:xsd="http://www.w3.org/2001/XMLSchema" xmlns:xs="http://www.w3.org/2001/XMLSchema" xmlns:p="http://schemas.microsoft.com/office/2006/metadata/properties" xmlns:ns2="f5489ad5-034d-4e68-9f1b-36fea412f5e1" targetNamespace="http://schemas.microsoft.com/office/2006/metadata/properties" ma:root="true" ma:fieldsID="51614157ae6e2c639653a313f437b88d" ns2:_="">
    <xsd:import namespace="f5489ad5-034d-4e68-9f1b-36fea412f5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89ad5-034d-4e68-9f1b-36fea412f5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BEBA7-E624-43A5-80FE-057DAA128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89ad5-034d-4e68-9f1b-36fea412f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0C98D-F703-45DF-AB9D-80308341F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0587E-8014-42D4-A55B-1BFC848B519E}">
  <ds:schemaRefs>
    <ds:schemaRef ds:uri="f5489ad5-034d-4e68-9f1b-36fea412f5e1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 Ningbo China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</dc:creator>
  <cp:lastModifiedBy>Clark Guo</cp:lastModifiedBy>
  <cp:revision>2</cp:revision>
  <dcterms:created xsi:type="dcterms:W3CDTF">2020-06-08T01:28:00Z</dcterms:created>
  <dcterms:modified xsi:type="dcterms:W3CDTF">2020-06-08T01:28:00Z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2020-02-19T00:00:00Z</vt:filetime>
  </property>
  <property fmtid="{D5CDD505-2E9C-101B-9397-08002B2CF9AE}" pid="5" name="KSOProductBuildVer">
    <vt:lpwstr>2052-11.1.0.9339</vt:lpwstr>
  </property>
  <property fmtid="{D5CDD505-2E9C-101B-9397-08002B2CF9AE}" pid="6" name="ContentTypeId">
    <vt:lpwstr>0x01010018977AA187729949828378F4771635DF</vt:lpwstr>
  </property>
</Properties>
</file>