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3DB4A" w14:textId="33F0CB9D" w:rsidR="003F1BAF" w:rsidRDefault="003F1BAF" w:rsidP="00761502">
      <w:pPr>
        <w:shd w:val="clear" w:color="auto" w:fill="FFFFFF"/>
        <w:spacing w:after="225" w:line="288" w:lineRule="atLeast"/>
        <w:jc w:val="both"/>
        <w:outlineLvl w:val="0"/>
        <w:rPr>
          <w:rFonts w:ascii="Arial" w:eastAsia="Times New Roman" w:hAnsi="Arial" w:cs="Arial"/>
          <w:b/>
          <w:kern w:val="36"/>
          <w:sz w:val="38"/>
          <w:szCs w:val="38"/>
        </w:rPr>
      </w:pPr>
      <w:r w:rsidRPr="003F1BAF">
        <w:rPr>
          <w:rFonts w:ascii="Arial" w:eastAsia="Times New Roman" w:hAnsi="Arial" w:cs="Arial"/>
          <w:b/>
          <w:kern w:val="36"/>
          <w:sz w:val="38"/>
          <w:szCs w:val="38"/>
        </w:rPr>
        <w:t>Self-Certification Policy</w:t>
      </w:r>
    </w:p>
    <w:p w14:paraId="30632CA8" w14:textId="2F3289D9" w:rsidR="004B10E1" w:rsidRDefault="004B10E1" w:rsidP="00761502">
      <w:pPr>
        <w:shd w:val="clear" w:color="auto" w:fill="FFFFFF"/>
        <w:spacing w:after="225" w:line="288" w:lineRule="atLeast"/>
        <w:jc w:val="both"/>
        <w:outlineLvl w:val="0"/>
        <w:rPr>
          <w:rFonts w:ascii="Arial" w:eastAsia="Times New Roman" w:hAnsi="Arial" w:cs="Arial"/>
          <w:b/>
          <w:kern w:val="36"/>
          <w:sz w:val="38"/>
          <w:szCs w:val="38"/>
        </w:rPr>
      </w:pPr>
      <w:r>
        <w:rPr>
          <w:rFonts w:ascii="Arial" w:hAnsi="Arial" w:cs="Arial"/>
          <w:color w:val="434341"/>
          <w:sz w:val="20"/>
          <w:szCs w:val="20"/>
          <w:shd w:val="clear" w:color="auto" w:fill="FFFFFF"/>
        </w:rPr>
        <w:t xml:space="preserve">The policy should be read in conjunction with the </w:t>
      </w:r>
      <w:hyperlink r:id="rId10" w:history="1">
        <w:r w:rsidRPr="004B10E1">
          <w:rPr>
            <w:rStyle w:val="Hyperlink"/>
            <w:rFonts w:ascii="Arial" w:hAnsi="Arial" w:cs="Arial"/>
            <w:sz w:val="20"/>
            <w:szCs w:val="20"/>
            <w:shd w:val="clear" w:color="auto" w:fill="FFFFFF"/>
          </w:rPr>
          <w:t>University’s Extenuating circumstances procedure</w:t>
        </w:r>
      </w:hyperlink>
    </w:p>
    <w:p w14:paraId="3D07A0C5" w14:textId="53DEDE13" w:rsidR="004B10E1" w:rsidRPr="002C6B0C" w:rsidRDefault="004B10E1" w:rsidP="004B10E1">
      <w:pPr>
        <w:shd w:val="clear" w:color="auto" w:fill="FFFFFF"/>
        <w:spacing w:after="120" w:line="240" w:lineRule="auto"/>
        <w:jc w:val="both"/>
        <w:outlineLvl w:val="0"/>
        <w:rPr>
          <w:rFonts w:ascii="Arial" w:hAnsi="Arial" w:cs="Arial"/>
          <w:color w:val="434341"/>
          <w:sz w:val="20"/>
          <w:szCs w:val="20"/>
          <w:shd w:val="clear" w:color="auto" w:fill="FFFFFF"/>
        </w:rPr>
      </w:pPr>
      <w:r w:rsidRPr="002C6B0C">
        <w:rPr>
          <w:rFonts w:ascii="Arial" w:hAnsi="Arial" w:cs="Arial"/>
          <w:color w:val="434341"/>
          <w:sz w:val="20"/>
          <w:szCs w:val="20"/>
          <w:shd w:val="clear" w:color="auto" w:fill="FFFFFF"/>
        </w:rPr>
        <w:t>Students may self-certificate absence from an examination(s) for a maximum of 2 consecutive calendar days in an examination period, this includes online exams. Students with a support plan that provides additional time for examinations may self-certify absence if the examination duration is 48 hours or less before any support plan adjustments are applied. </w:t>
      </w:r>
    </w:p>
    <w:p w14:paraId="0DDF6D0B" w14:textId="1EC314F4" w:rsidR="004B10E1" w:rsidRPr="004B10E1" w:rsidRDefault="003F1BAF" w:rsidP="004B10E1">
      <w:pPr>
        <w:pStyle w:val="Heading2"/>
        <w:spacing w:before="0" w:line="240" w:lineRule="auto"/>
        <w:contextualSpacing/>
        <w:jc w:val="both"/>
        <w:rPr>
          <w:rFonts w:ascii="Arial" w:hAnsi="Arial" w:cs="Arial"/>
          <w:b/>
          <w:color w:val="434341"/>
          <w:sz w:val="20"/>
          <w:szCs w:val="20"/>
        </w:rPr>
      </w:pPr>
      <w:r w:rsidRPr="003F1BAF">
        <w:rPr>
          <w:rFonts w:ascii="Arial" w:hAnsi="Arial" w:cs="Arial"/>
          <w:b/>
          <w:color w:val="434341"/>
          <w:sz w:val="20"/>
          <w:szCs w:val="20"/>
        </w:rPr>
        <w:t>Key principles</w:t>
      </w:r>
    </w:p>
    <w:p w14:paraId="35C3DB4C" w14:textId="77777777" w:rsidR="003F1BAF" w:rsidRPr="003F1BAF" w:rsidRDefault="003F1BAF" w:rsidP="00761502">
      <w:pPr>
        <w:pStyle w:val="Heading2"/>
        <w:spacing w:before="0" w:line="240" w:lineRule="auto"/>
        <w:contextualSpacing/>
        <w:jc w:val="both"/>
        <w:rPr>
          <w:rFonts w:ascii="Arial" w:hAnsi="Arial" w:cs="Arial"/>
          <w:color w:val="434341"/>
          <w:sz w:val="20"/>
          <w:szCs w:val="20"/>
        </w:rPr>
      </w:pPr>
      <w:r>
        <w:rPr>
          <w:rFonts w:ascii="Arial" w:hAnsi="Arial" w:cs="Arial"/>
          <w:color w:val="434341"/>
          <w:sz w:val="20"/>
          <w:szCs w:val="20"/>
        </w:rPr>
        <w:t>In exceptional circumstances, where a student is prevented from attending an examination due to circumstances which meet all of the criteria set out in section 1 of the Guidance on acceptable circumstances and evidence (EC Procedure), they may use self-certification if they are unable to provide any other form of evidence.</w:t>
      </w:r>
    </w:p>
    <w:p w14:paraId="35C3DB4D" w14:textId="77777777" w:rsidR="003F1BAF" w:rsidRDefault="003F1BAF" w:rsidP="00761502">
      <w:pPr>
        <w:pStyle w:val="NormalWeb"/>
        <w:shd w:val="clear" w:color="auto" w:fill="FFFFFF"/>
        <w:spacing w:before="0" w:beforeAutospacing="0" w:after="300" w:afterAutospacing="0"/>
        <w:contextualSpacing/>
        <w:jc w:val="both"/>
        <w:rPr>
          <w:rFonts w:ascii="Arial" w:hAnsi="Arial" w:cs="Arial"/>
          <w:color w:val="434341"/>
          <w:sz w:val="20"/>
          <w:szCs w:val="20"/>
        </w:rPr>
      </w:pPr>
    </w:p>
    <w:p w14:paraId="35C3DB4E" w14:textId="77777777" w:rsidR="003B1274" w:rsidRDefault="003F1BAF" w:rsidP="004B10E1">
      <w:pPr>
        <w:pStyle w:val="NormalWeb"/>
        <w:shd w:val="clear" w:color="auto" w:fill="FFFFFF"/>
        <w:spacing w:before="0" w:beforeAutospacing="0" w:after="0" w:afterAutospacing="0"/>
        <w:contextualSpacing/>
        <w:jc w:val="both"/>
        <w:rPr>
          <w:rFonts w:ascii="Arial" w:hAnsi="Arial" w:cs="Arial"/>
          <w:color w:val="434341"/>
          <w:sz w:val="20"/>
          <w:szCs w:val="20"/>
        </w:rPr>
      </w:pPr>
      <w:r>
        <w:rPr>
          <w:rFonts w:ascii="Arial" w:hAnsi="Arial" w:cs="Arial"/>
          <w:color w:val="434341"/>
          <w:sz w:val="20"/>
          <w:szCs w:val="20"/>
        </w:rPr>
        <w:t>The circumstances must be out of the student’s control – the student could not have prevented them.</w:t>
      </w:r>
    </w:p>
    <w:p w14:paraId="35C3DB4F" w14:textId="77777777" w:rsidR="003B1274" w:rsidRPr="002C6B0C" w:rsidRDefault="003B1274" w:rsidP="004B10E1">
      <w:pPr>
        <w:shd w:val="clear" w:color="auto" w:fill="FFFFFF"/>
        <w:spacing w:after="0" w:line="240" w:lineRule="auto"/>
        <w:rPr>
          <w:rFonts w:ascii="Arial" w:eastAsiaTheme="majorEastAsia" w:hAnsi="Arial" w:cs="Arial"/>
          <w:b/>
          <w:i/>
          <w:color w:val="434341"/>
          <w:sz w:val="20"/>
          <w:szCs w:val="20"/>
        </w:rPr>
      </w:pPr>
      <w:r w:rsidRPr="002C6B0C">
        <w:rPr>
          <w:rFonts w:ascii="Arial" w:eastAsiaTheme="majorEastAsia" w:hAnsi="Arial" w:cs="Arial"/>
          <w:b/>
          <w:i/>
          <w:color w:val="434341"/>
          <w:sz w:val="20"/>
          <w:szCs w:val="20"/>
        </w:rPr>
        <w:t>For clarity, this policy is intended for use by students who, unexpectedly, are unable to attend an examination due to short-term, acute circumstances e.g. a migraine or sickness and diarrh</w:t>
      </w:r>
      <w:r w:rsidR="00025779" w:rsidRPr="002C6B0C">
        <w:rPr>
          <w:rFonts w:ascii="Arial" w:eastAsiaTheme="majorEastAsia" w:hAnsi="Arial" w:cs="Arial"/>
          <w:b/>
          <w:i/>
          <w:color w:val="434341"/>
          <w:sz w:val="20"/>
          <w:szCs w:val="20"/>
        </w:rPr>
        <w:t>o</w:t>
      </w:r>
      <w:r w:rsidRPr="002C6B0C">
        <w:rPr>
          <w:rFonts w:ascii="Arial" w:eastAsiaTheme="majorEastAsia" w:hAnsi="Arial" w:cs="Arial"/>
          <w:b/>
          <w:i/>
          <w:color w:val="434341"/>
          <w:sz w:val="20"/>
          <w:szCs w:val="20"/>
        </w:rPr>
        <w:t>ea, and who are unable to obtain medical evidence of this.</w:t>
      </w:r>
    </w:p>
    <w:p w14:paraId="01DF0D5E" w14:textId="77777777" w:rsidR="002C6B0C" w:rsidRPr="002C6B0C" w:rsidRDefault="002C6B0C" w:rsidP="004B10E1">
      <w:pPr>
        <w:shd w:val="clear" w:color="auto" w:fill="FFFFFF"/>
        <w:spacing w:after="0" w:line="240" w:lineRule="auto"/>
        <w:rPr>
          <w:rFonts w:ascii="Arial" w:eastAsiaTheme="majorEastAsia" w:hAnsi="Arial" w:cs="Arial"/>
          <w:b/>
          <w:i/>
          <w:color w:val="434341"/>
          <w:sz w:val="20"/>
          <w:szCs w:val="20"/>
        </w:rPr>
      </w:pPr>
    </w:p>
    <w:p w14:paraId="35C3DB50" w14:textId="0B958369" w:rsidR="003B1274" w:rsidRPr="002C6B0C" w:rsidRDefault="003B1274" w:rsidP="004B10E1">
      <w:pPr>
        <w:shd w:val="clear" w:color="auto" w:fill="FFFFFF"/>
        <w:spacing w:after="0" w:line="240" w:lineRule="auto"/>
        <w:rPr>
          <w:rFonts w:ascii="Arial" w:eastAsiaTheme="majorEastAsia" w:hAnsi="Arial" w:cs="Arial"/>
          <w:b/>
          <w:i/>
          <w:color w:val="434341"/>
          <w:sz w:val="20"/>
          <w:szCs w:val="20"/>
        </w:rPr>
      </w:pPr>
      <w:r w:rsidRPr="002C6B0C">
        <w:rPr>
          <w:rFonts w:ascii="Arial" w:eastAsiaTheme="majorEastAsia" w:hAnsi="Arial" w:cs="Arial"/>
          <w:b/>
          <w:i/>
          <w:color w:val="434341"/>
          <w:sz w:val="20"/>
          <w:szCs w:val="20"/>
        </w:rPr>
        <w:t>If a student wishes to give advance notice of their inability to sit an examination, evidence will be required for this as part of their EC claim.</w:t>
      </w:r>
    </w:p>
    <w:p w14:paraId="76842949" w14:textId="77777777" w:rsidR="002C6B0C" w:rsidRDefault="002C6B0C" w:rsidP="002C6B0C">
      <w:pPr>
        <w:pStyle w:val="Heading2"/>
        <w:spacing w:before="0" w:line="240" w:lineRule="auto"/>
        <w:contextualSpacing/>
        <w:jc w:val="both"/>
        <w:rPr>
          <w:rFonts w:ascii="Arial" w:hAnsi="Arial" w:cs="Arial"/>
          <w:b/>
          <w:color w:val="434341"/>
          <w:sz w:val="20"/>
          <w:szCs w:val="20"/>
        </w:rPr>
      </w:pPr>
    </w:p>
    <w:p w14:paraId="7ABDFF77" w14:textId="63F2D938" w:rsidR="004B10E1" w:rsidRPr="002C6B0C" w:rsidRDefault="003F1BAF" w:rsidP="002C6B0C">
      <w:pPr>
        <w:pStyle w:val="Heading2"/>
        <w:spacing w:before="0" w:line="240" w:lineRule="auto"/>
        <w:contextualSpacing/>
        <w:jc w:val="both"/>
        <w:rPr>
          <w:rFonts w:ascii="Arial" w:hAnsi="Arial" w:cs="Arial"/>
          <w:b/>
          <w:color w:val="434341"/>
          <w:sz w:val="20"/>
          <w:szCs w:val="20"/>
        </w:rPr>
      </w:pPr>
      <w:r w:rsidRPr="002C6B0C">
        <w:rPr>
          <w:rFonts w:ascii="Arial" w:hAnsi="Arial" w:cs="Arial"/>
          <w:b/>
          <w:color w:val="434341"/>
          <w:sz w:val="20"/>
          <w:szCs w:val="20"/>
        </w:rPr>
        <w:t>Scope of policy</w:t>
      </w:r>
    </w:p>
    <w:p w14:paraId="35C3DB52" w14:textId="77777777" w:rsidR="003F1BAF" w:rsidRP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The definition of an examination is a timetabled written or online (e.g. ROGO) formal examination, a language oral examination and/or a practical skills-based (e.g. OSCE/OSPE exam).  </w:t>
      </w:r>
    </w:p>
    <w:p w14:paraId="35C3DB53" w14:textId="77777777" w:rsidR="003F1BAF" w:rsidRP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Self-certification is only available for individual examinations and will not be accepted for:</w:t>
      </w:r>
    </w:p>
    <w:p w14:paraId="35C3DB54" w14:textId="77777777" w:rsidR="003F1BAF" w:rsidRPr="003F1BAF" w:rsidRDefault="003F1BAF" w:rsidP="00761502">
      <w:pPr>
        <w:numPr>
          <w:ilvl w:val="0"/>
          <w:numId w:val="1"/>
        </w:numPr>
        <w:shd w:val="clear" w:color="auto" w:fill="FFFFFF"/>
        <w:spacing w:after="120" w:line="240" w:lineRule="auto"/>
        <w:ind w:left="450" w:firstLine="0"/>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absence from a group assessment</w:t>
      </w:r>
    </w:p>
    <w:p w14:paraId="35C3DB55" w14:textId="77777777" w:rsidR="003F1BAF" w:rsidRPr="003F1BAF" w:rsidRDefault="003F1BAF" w:rsidP="00761502">
      <w:pPr>
        <w:numPr>
          <w:ilvl w:val="0"/>
          <w:numId w:val="1"/>
        </w:numPr>
        <w:shd w:val="clear" w:color="auto" w:fill="FFFFFF"/>
        <w:spacing w:after="120" w:line="240" w:lineRule="auto"/>
        <w:ind w:left="450" w:firstLine="0"/>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‘in-class’ assessments, including presentations, whether held within or without the University’s exam periods</w:t>
      </w:r>
    </w:p>
    <w:p w14:paraId="35C3DB56" w14:textId="77777777" w:rsidR="003F1BAF" w:rsidRPr="003F1BAF" w:rsidRDefault="003F1BAF" w:rsidP="00761502">
      <w:pPr>
        <w:numPr>
          <w:ilvl w:val="0"/>
          <w:numId w:val="1"/>
        </w:numPr>
        <w:shd w:val="clear" w:color="auto" w:fill="FFFFFF"/>
        <w:spacing w:after="120" w:line="240" w:lineRule="auto"/>
        <w:ind w:left="450" w:firstLine="0"/>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an extension/adjustment to a coursework deadline</w:t>
      </w:r>
    </w:p>
    <w:p w14:paraId="35C3DB57" w14:textId="77777777" w:rsidR="003F1BAF" w:rsidRPr="003F1BAF" w:rsidRDefault="003F1BAF" w:rsidP="00761502">
      <w:pPr>
        <w:numPr>
          <w:ilvl w:val="0"/>
          <w:numId w:val="1"/>
        </w:numPr>
        <w:shd w:val="clear" w:color="auto" w:fill="FFFFFF"/>
        <w:spacing w:after="120" w:line="240" w:lineRule="auto"/>
        <w:ind w:left="450" w:firstLine="0"/>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absence from a practice placement</w:t>
      </w:r>
    </w:p>
    <w:p w14:paraId="35C3DB58" w14:textId="26CEB0B9" w:rsidR="003F1BAF" w:rsidRDefault="003F1BAF" w:rsidP="002C6B0C">
      <w:pPr>
        <w:numPr>
          <w:ilvl w:val="0"/>
          <w:numId w:val="1"/>
        </w:numPr>
        <w:shd w:val="clear" w:color="auto" w:fill="FFFFFF"/>
        <w:spacing w:after="0" w:line="240" w:lineRule="auto"/>
        <w:ind w:left="446" w:firstLine="0"/>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an examination that the student attended (self-certification is only applicable to non-attendance of assessments)</w:t>
      </w:r>
    </w:p>
    <w:p w14:paraId="33E65599" w14:textId="77777777" w:rsidR="002C6B0C" w:rsidRDefault="002C6B0C" w:rsidP="00761502">
      <w:pPr>
        <w:pStyle w:val="Heading2"/>
        <w:spacing w:before="0" w:line="240" w:lineRule="auto"/>
        <w:contextualSpacing/>
        <w:jc w:val="both"/>
        <w:rPr>
          <w:rFonts w:ascii="Arial" w:hAnsi="Arial" w:cs="Arial"/>
          <w:b/>
          <w:color w:val="434341"/>
          <w:sz w:val="20"/>
          <w:szCs w:val="20"/>
        </w:rPr>
      </w:pPr>
    </w:p>
    <w:p w14:paraId="35C3DB5A" w14:textId="4730BD98" w:rsidR="003F1BAF" w:rsidRPr="003F1BAF" w:rsidRDefault="003F1BAF" w:rsidP="00761502">
      <w:pPr>
        <w:pStyle w:val="Heading2"/>
        <w:spacing w:before="0" w:line="240" w:lineRule="auto"/>
        <w:contextualSpacing/>
        <w:jc w:val="both"/>
        <w:rPr>
          <w:rFonts w:ascii="Arial" w:hAnsi="Arial" w:cs="Arial"/>
          <w:b/>
          <w:color w:val="434341"/>
          <w:sz w:val="20"/>
          <w:szCs w:val="20"/>
        </w:rPr>
      </w:pPr>
      <w:r w:rsidRPr="003F1BAF">
        <w:rPr>
          <w:rFonts w:ascii="Arial" w:hAnsi="Arial" w:cs="Arial"/>
          <w:b/>
          <w:color w:val="434341"/>
          <w:sz w:val="20"/>
          <w:szCs w:val="20"/>
        </w:rPr>
        <w:t>Overview</w:t>
      </w:r>
    </w:p>
    <w:p w14:paraId="35C3DB5B" w14:textId="3209F061" w:rsidR="003F1BAF" w:rsidRDefault="003F1BAF" w:rsidP="004B10E1">
      <w:pPr>
        <w:shd w:val="clear" w:color="auto" w:fill="FFFFFF"/>
        <w:spacing w:after="0" w:line="240" w:lineRule="auto"/>
        <w:jc w:val="both"/>
        <w:rPr>
          <w:rFonts w:ascii="Arial" w:eastAsia="Times New Roman" w:hAnsi="Arial" w:cs="Arial"/>
          <w:color w:val="434341"/>
          <w:sz w:val="20"/>
          <w:szCs w:val="20"/>
        </w:rPr>
      </w:pPr>
      <w:r w:rsidRPr="003F1BAF">
        <w:rPr>
          <w:rFonts w:ascii="Arial" w:eastAsia="Times New Roman" w:hAnsi="Arial" w:cs="Arial"/>
          <w:color w:val="434341"/>
          <w:sz w:val="20"/>
          <w:szCs w:val="20"/>
        </w:rPr>
        <w:t>Students may self-certificate absence from an examination(s) for a maximum of 2 consecutive calendar days in an examination period, using the extenuating</w:t>
      </w:r>
      <w:r w:rsidR="002D4D6E">
        <w:rPr>
          <w:rFonts w:ascii="Arial" w:eastAsia="Times New Roman" w:hAnsi="Arial" w:cs="Arial"/>
          <w:color w:val="434341"/>
          <w:sz w:val="20"/>
          <w:szCs w:val="20"/>
        </w:rPr>
        <w:t xml:space="preserve"> circumstances (EC) claim form. </w:t>
      </w:r>
      <w:r w:rsidRPr="003F1BAF">
        <w:rPr>
          <w:rFonts w:ascii="Arial" w:eastAsia="Times New Roman" w:hAnsi="Arial" w:cs="Arial"/>
          <w:color w:val="434341"/>
          <w:sz w:val="20"/>
          <w:szCs w:val="20"/>
        </w:rPr>
        <w:t>For absence of more than two consecutive calendar days, or for a further EC claim in the same examination period, medical or other evidence is required.</w:t>
      </w:r>
    </w:p>
    <w:p w14:paraId="42579493" w14:textId="77777777" w:rsidR="004B10E1" w:rsidRPr="003F1BAF" w:rsidRDefault="004B10E1" w:rsidP="004B10E1">
      <w:pPr>
        <w:shd w:val="clear" w:color="auto" w:fill="FFFFFF"/>
        <w:spacing w:after="0" w:line="240" w:lineRule="auto"/>
        <w:jc w:val="both"/>
        <w:rPr>
          <w:rFonts w:ascii="Arial" w:eastAsia="Times New Roman" w:hAnsi="Arial" w:cs="Arial"/>
          <w:color w:val="434341"/>
          <w:sz w:val="20"/>
          <w:szCs w:val="20"/>
        </w:rPr>
      </w:pPr>
    </w:p>
    <w:p w14:paraId="35C3DB5C" w14:textId="77777777" w:rsid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Students who are absent from an examination and who self-certificate will be required to undertake the examination at the next scheduled time the examination is run, normally in the August / September ‘re-sit’ period. The student will be offered a further attempt on the same basis as the missed assessment i.e. if a first sit attempt assessment was missed, a further first attempt will be offered, if a reassessment was missed, a further reassessment attempt will be offered. Normally, the further attempt will be in the format of an examination, however, a different form of re-assessment to assess whether the learning outcomes are achieved, as determined by the School/Department, may be recommended if the same or equivalent of the original is no longer possible.</w:t>
      </w:r>
    </w:p>
    <w:p w14:paraId="35C3DB5D" w14:textId="77777777" w:rsidR="003F1BAF" w:rsidRP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p>
    <w:p w14:paraId="35C3DB5E" w14:textId="77777777" w:rsid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Bespoke examinations to facilitate progression, graduation etc. will not be scheduled i.e. there will be no opportunity to take reassessments outside the next scheduled period.</w:t>
      </w:r>
    </w:p>
    <w:p w14:paraId="35C3DB5F" w14:textId="77777777" w:rsidR="003F1BAF" w:rsidRP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p>
    <w:p w14:paraId="35C3DB60" w14:textId="77777777" w:rsid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The only potential outcome of a self-certificated absence claim is a further attempt at the assessment. A mark of 0 will be awarded for the missed examination until the student sits the examination at the next scheduled assessment period. </w:t>
      </w:r>
    </w:p>
    <w:p w14:paraId="35C3DB61" w14:textId="77777777" w:rsidR="003F1BAF" w:rsidRP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p>
    <w:p w14:paraId="35C3DB63" w14:textId="6E6699EC" w:rsidR="003F1BAF" w:rsidRPr="002C6B0C" w:rsidRDefault="003F1BAF" w:rsidP="00761502">
      <w:pPr>
        <w:shd w:val="clear" w:color="auto" w:fill="FFFFFF"/>
        <w:spacing w:after="300" w:line="240" w:lineRule="auto"/>
        <w:contextualSpacing/>
        <w:jc w:val="both"/>
        <w:rPr>
          <w:rFonts w:ascii="Arial" w:eastAsia="Times New Roman" w:hAnsi="Arial" w:cs="Arial"/>
          <w:b/>
          <w:i/>
          <w:color w:val="434341"/>
          <w:sz w:val="20"/>
          <w:szCs w:val="20"/>
        </w:rPr>
      </w:pPr>
      <w:r w:rsidRPr="002C6B0C">
        <w:rPr>
          <w:rFonts w:ascii="Arial" w:eastAsia="Times New Roman" w:hAnsi="Arial" w:cs="Arial"/>
          <w:b/>
          <w:i/>
          <w:color w:val="434341"/>
          <w:sz w:val="20"/>
          <w:szCs w:val="20"/>
        </w:rPr>
        <w:t>Self-certified assessments are not eligible for discounting by Examination Boards for the purposes of calculating either module marks or degree classifications.</w:t>
      </w:r>
    </w:p>
    <w:p w14:paraId="35C3DB64" w14:textId="198D3988" w:rsidR="003F1BAF" w:rsidRDefault="003F1BAF" w:rsidP="002C6B0C">
      <w:pPr>
        <w:shd w:val="clear" w:color="auto" w:fill="FFFFFF"/>
        <w:spacing w:after="0" w:line="240" w:lineRule="auto"/>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lastRenderedPageBreak/>
        <w:t>Students should be aware that if they self-certify their absence from a reassessment examination, they may be prevented from progressing to the next stage of study, if the progression requirements of the course have not been met. Subject to the progression requirements of the course, some students may be able to proceed to the next stage of study, carrying the outstanding assessment but, if not, they will have to interrupt their studies until the next scheduled assessment opportunity. Student Services will notify students of the impact of their non-attendance on progression after the meeting of the relevant progression or classification Examination Board.</w:t>
      </w:r>
    </w:p>
    <w:p w14:paraId="59E4D532" w14:textId="77777777" w:rsidR="002C6B0C" w:rsidRPr="003F1BAF" w:rsidRDefault="002C6B0C" w:rsidP="002C6B0C">
      <w:pPr>
        <w:shd w:val="clear" w:color="auto" w:fill="FFFFFF"/>
        <w:spacing w:after="0" w:line="240" w:lineRule="auto"/>
        <w:contextualSpacing/>
        <w:jc w:val="both"/>
        <w:rPr>
          <w:rFonts w:ascii="Arial" w:eastAsia="Times New Roman" w:hAnsi="Arial" w:cs="Arial"/>
          <w:color w:val="434341"/>
          <w:sz w:val="20"/>
          <w:szCs w:val="20"/>
        </w:rPr>
      </w:pPr>
    </w:p>
    <w:p w14:paraId="35C3DB65" w14:textId="77777777" w:rsidR="003F1BAF" w:rsidRPr="003F1BAF" w:rsidRDefault="003F1BAF" w:rsidP="00761502">
      <w:pPr>
        <w:pStyle w:val="Heading2"/>
        <w:spacing w:before="0" w:line="288" w:lineRule="atLeast"/>
        <w:jc w:val="both"/>
        <w:rPr>
          <w:rFonts w:ascii="Arial" w:hAnsi="Arial" w:cs="Arial"/>
          <w:b/>
          <w:color w:val="434341"/>
          <w:sz w:val="20"/>
          <w:szCs w:val="20"/>
        </w:rPr>
      </w:pPr>
      <w:r w:rsidRPr="003F1BAF">
        <w:rPr>
          <w:rFonts w:ascii="Arial" w:hAnsi="Arial" w:cs="Arial"/>
          <w:b/>
          <w:color w:val="434341"/>
          <w:sz w:val="20"/>
          <w:szCs w:val="20"/>
        </w:rPr>
        <w:t>Review</w:t>
      </w:r>
    </w:p>
    <w:p w14:paraId="35C3DB66" w14:textId="77777777" w:rsid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The University reserves the right to review the use of self-certification by students and to require evidence for multiple and frequent use of self-certification, for example, more than twice in an academic session (year).</w:t>
      </w:r>
    </w:p>
    <w:p w14:paraId="35C3DB67" w14:textId="77777777" w:rsidR="00A22D14" w:rsidRPr="003F1BAF" w:rsidRDefault="00A22D14" w:rsidP="00761502">
      <w:pPr>
        <w:shd w:val="clear" w:color="auto" w:fill="FFFFFF"/>
        <w:spacing w:after="300" w:line="240" w:lineRule="auto"/>
        <w:contextualSpacing/>
        <w:jc w:val="both"/>
        <w:rPr>
          <w:rFonts w:ascii="Arial" w:eastAsia="Times New Roman" w:hAnsi="Arial" w:cs="Arial"/>
          <w:color w:val="434341"/>
          <w:sz w:val="20"/>
          <w:szCs w:val="20"/>
        </w:rPr>
      </w:pPr>
    </w:p>
    <w:p w14:paraId="35C3DB68" w14:textId="77777777" w:rsidR="003F1BAF" w:rsidRDefault="003F1BAF" w:rsidP="00761502">
      <w:pPr>
        <w:shd w:val="clear" w:color="auto" w:fill="FFFFFF"/>
        <w:spacing w:after="300" w:line="240" w:lineRule="auto"/>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The University holds a reasonable expectation that students will only self-certify their absence from assessments when prevented from attending by circumstances beyond their control.</w:t>
      </w:r>
    </w:p>
    <w:p w14:paraId="35C3DB69" w14:textId="77777777" w:rsidR="00A22D14" w:rsidRPr="003F1BAF" w:rsidRDefault="00A22D14" w:rsidP="00761502">
      <w:pPr>
        <w:shd w:val="clear" w:color="auto" w:fill="FFFFFF"/>
        <w:spacing w:after="300" w:line="240" w:lineRule="auto"/>
        <w:contextualSpacing/>
        <w:jc w:val="both"/>
        <w:rPr>
          <w:rFonts w:ascii="Arial" w:eastAsia="Times New Roman" w:hAnsi="Arial" w:cs="Arial"/>
          <w:color w:val="434341"/>
          <w:sz w:val="20"/>
          <w:szCs w:val="20"/>
        </w:rPr>
      </w:pPr>
    </w:p>
    <w:p w14:paraId="35C3DB6A" w14:textId="44A70BA2" w:rsidR="003F1BAF" w:rsidRDefault="003F1BAF" w:rsidP="002C6B0C">
      <w:pPr>
        <w:shd w:val="clear" w:color="auto" w:fill="FFFFFF"/>
        <w:spacing w:after="0" w:line="240" w:lineRule="auto"/>
        <w:contextualSpacing/>
        <w:jc w:val="both"/>
        <w:rPr>
          <w:rFonts w:ascii="Arial" w:eastAsia="Times New Roman" w:hAnsi="Arial" w:cs="Arial"/>
          <w:color w:val="434341"/>
          <w:sz w:val="20"/>
          <w:szCs w:val="20"/>
        </w:rPr>
      </w:pPr>
      <w:r w:rsidRPr="003F1BAF">
        <w:rPr>
          <w:rFonts w:ascii="Arial" w:eastAsia="Times New Roman" w:hAnsi="Arial" w:cs="Arial"/>
          <w:color w:val="434341"/>
          <w:sz w:val="20"/>
          <w:szCs w:val="20"/>
        </w:rPr>
        <w:t>Claims which are believed to give fraudulent reasons for absence from the assessment will be investigated under the Code of Discipline. If the claim is found to be fraudulent, disciplinary action may be taken.  Additionally, the mark of 0 for the missed assessment will be recorded as the final mark for that assessment for the purposes of progression and classification. This means that a further reassessment opportunity will only be offered if required or permitted by regulations.</w:t>
      </w:r>
    </w:p>
    <w:p w14:paraId="577616EC" w14:textId="77777777" w:rsidR="002C6B0C" w:rsidRPr="003F1BAF" w:rsidRDefault="002C6B0C" w:rsidP="002C6B0C">
      <w:pPr>
        <w:shd w:val="clear" w:color="auto" w:fill="FFFFFF"/>
        <w:spacing w:after="0" w:line="240" w:lineRule="auto"/>
        <w:contextualSpacing/>
        <w:jc w:val="both"/>
        <w:rPr>
          <w:rFonts w:ascii="Arial" w:eastAsia="Times New Roman" w:hAnsi="Arial" w:cs="Arial"/>
          <w:color w:val="434341"/>
          <w:sz w:val="20"/>
          <w:szCs w:val="20"/>
        </w:rPr>
      </w:pPr>
    </w:p>
    <w:p w14:paraId="35C3DB6B" w14:textId="77777777" w:rsidR="003F1BAF" w:rsidRPr="003F1BAF" w:rsidRDefault="003F1BAF" w:rsidP="00761502">
      <w:pPr>
        <w:pStyle w:val="Heading2"/>
        <w:spacing w:before="0" w:line="288" w:lineRule="atLeast"/>
        <w:jc w:val="both"/>
        <w:rPr>
          <w:rFonts w:ascii="Arial" w:hAnsi="Arial" w:cs="Arial"/>
          <w:b/>
          <w:color w:val="434341"/>
          <w:sz w:val="20"/>
          <w:szCs w:val="20"/>
        </w:rPr>
      </w:pPr>
      <w:r w:rsidRPr="003F1BAF">
        <w:rPr>
          <w:rFonts w:ascii="Arial" w:hAnsi="Arial" w:cs="Arial"/>
          <w:b/>
          <w:color w:val="434341"/>
          <w:sz w:val="20"/>
          <w:szCs w:val="20"/>
        </w:rPr>
        <w:t>Considerations</w:t>
      </w:r>
    </w:p>
    <w:p w14:paraId="38BC429B" w14:textId="63CD199B" w:rsidR="004B10E1" w:rsidRDefault="003F1BAF" w:rsidP="002C6B0C">
      <w:pPr>
        <w:pBdr>
          <w:bottom w:val="single" w:sz="6" w:space="1" w:color="auto"/>
        </w:pBdr>
        <w:spacing w:after="0" w:line="240" w:lineRule="auto"/>
        <w:jc w:val="both"/>
        <w:rPr>
          <w:rFonts w:ascii="Arial" w:eastAsia="Times New Roman" w:hAnsi="Arial" w:cs="Arial"/>
          <w:color w:val="434341"/>
          <w:sz w:val="20"/>
          <w:szCs w:val="20"/>
        </w:rPr>
      </w:pPr>
      <w:r w:rsidRPr="003F1BAF">
        <w:rPr>
          <w:rFonts w:ascii="Arial" w:eastAsia="Times New Roman" w:hAnsi="Arial" w:cs="Arial"/>
          <w:color w:val="434341"/>
          <w:sz w:val="20"/>
          <w:szCs w:val="20"/>
        </w:rPr>
        <w:t>When self-certifying absence, all students should read and understand the implications of the University’s Maximum period from initial registration which sets out that stages of study must be completed within a prescribed timeframe.</w:t>
      </w:r>
    </w:p>
    <w:p w14:paraId="4E5C47F1" w14:textId="77777777" w:rsidR="002C6B0C" w:rsidRDefault="002C6B0C" w:rsidP="002C6B0C">
      <w:pPr>
        <w:pBdr>
          <w:bottom w:val="single" w:sz="6" w:space="1" w:color="auto"/>
        </w:pBdr>
        <w:spacing w:after="0" w:line="240" w:lineRule="auto"/>
        <w:jc w:val="both"/>
        <w:rPr>
          <w:rFonts w:ascii="Arial" w:eastAsia="Times New Roman" w:hAnsi="Arial" w:cs="Arial"/>
          <w:color w:val="434341"/>
          <w:sz w:val="20"/>
          <w:szCs w:val="20"/>
        </w:rPr>
      </w:pPr>
    </w:p>
    <w:p w14:paraId="792B3823" w14:textId="77777777" w:rsidR="002C6B0C" w:rsidRDefault="002C6B0C" w:rsidP="004B10E1">
      <w:pPr>
        <w:spacing w:after="120" w:line="240" w:lineRule="auto"/>
        <w:jc w:val="both"/>
        <w:rPr>
          <w:rFonts w:ascii="Arial" w:eastAsiaTheme="majorEastAsia" w:hAnsi="Arial" w:cs="Arial"/>
          <w:b/>
          <w:color w:val="434341"/>
          <w:sz w:val="20"/>
          <w:szCs w:val="20"/>
        </w:rPr>
      </w:pPr>
      <w:bookmarkStart w:id="0" w:name="_GoBack"/>
      <w:bookmarkEnd w:id="0"/>
    </w:p>
    <w:p w14:paraId="35C3DB6E" w14:textId="5765D863" w:rsidR="00D055FE" w:rsidRPr="006C32D1" w:rsidRDefault="00D055FE" w:rsidP="004B10E1">
      <w:pPr>
        <w:spacing w:after="120" w:line="240" w:lineRule="auto"/>
        <w:jc w:val="both"/>
        <w:rPr>
          <w:rFonts w:ascii="Arial" w:eastAsiaTheme="majorEastAsia" w:hAnsi="Arial" w:cs="Arial"/>
          <w:b/>
          <w:color w:val="434341"/>
          <w:sz w:val="24"/>
          <w:szCs w:val="24"/>
        </w:rPr>
      </w:pPr>
      <w:r w:rsidRPr="006C32D1">
        <w:rPr>
          <w:rFonts w:ascii="Arial" w:eastAsiaTheme="majorEastAsia" w:hAnsi="Arial" w:cs="Arial" w:hint="eastAsia"/>
          <w:b/>
          <w:color w:val="434341"/>
          <w:sz w:val="24"/>
          <w:szCs w:val="24"/>
        </w:rPr>
        <w:t>Self</w:t>
      </w:r>
      <w:r w:rsidRPr="006C32D1">
        <w:rPr>
          <w:rFonts w:ascii="Arial" w:eastAsiaTheme="majorEastAsia" w:hAnsi="Arial" w:cs="Arial"/>
          <w:b/>
          <w:color w:val="434341"/>
          <w:sz w:val="24"/>
          <w:szCs w:val="24"/>
        </w:rPr>
        <w:t>-certification Section:</w:t>
      </w:r>
    </w:p>
    <w:p w14:paraId="35C3DB70" w14:textId="119770D1" w:rsidR="00412775" w:rsidRDefault="00A22D14" w:rsidP="00761502">
      <w:pPr>
        <w:jc w:val="both"/>
        <w:rPr>
          <w:rFonts w:ascii="Arial" w:hAnsi="Arial" w:cs="Arial"/>
          <w:color w:val="434341"/>
          <w:sz w:val="20"/>
          <w:szCs w:val="20"/>
        </w:rPr>
      </w:pPr>
      <w:r w:rsidRPr="00A22D14">
        <w:rPr>
          <w:rFonts w:ascii="Arial" w:hAnsi="Arial" w:cs="Arial"/>
          <w:color w:val="434341"/>
          <w:sz w:val="20"/>
          <w:szCs w:val="20"/>
        </w:rPr>
        <w:t>If you are self-certifying your absence from an examination, please</w:t>
      </w:r>
      <w:r w:rsidR="004B617B">
        <w:rPr>
          <w:rFonts w:ascii="Arial" w:hAnsi="Arial" w:cs="Arial"/>
          <w:color w:val="434341"/>
          <w:sz w:val="20"/>
          <w:szCs w:val="20"/>
        </w:rPr>
        <w:t xml:space="preserve"> complete below box and</w:t>
      </w:r>
      <w:r w:rsidRPr="00A22D14">
        <w:rPr>
          <w:rFonts w:ascii="Arial" w:hAnsi="Arial" w:cs="Arial"/>
          <w:color w:val="434341"/>
          <w:sz w:val="20"/>
          <w:szCs w:val="20"/>
        </w:rPr>
        <w:t xml:space="preserve"> confirm that you have read and understood the Examination Self-Certification Policy and Guidance on Acceptable Circumstances and Evidence. </w:t>
      </w:r>
    </w:p>
    <w:tbl>
      <w:tblPr>
        <w:tblStyle w:val="TableGrid"/>
        <w:tblW w:w="9895" w:type="dxa"/>
        <w:tblLook w:val="04A0" w:firstRow="1" w:lastRow="0" w:firstColumn="1" w:lastColumn="0" w:noHBand="0" w:noVBand="1"/>
      </w:tblPr>
      <w:tblGrid>
        <w:gridCol w:w="1705"/>
        <w:gridCol w:w="4500"/>
        <w:gridCol w:w="1530"/>
        <w:gridCol w:w="2160"/>
      </w:tblGrid>
      <w:tr w:rsidR="004B617B" w14:paraId="35C3DB75" w14:textId="77777777" w:rsidTr="004B617B">
        <w:trPr>
          <w:trHeight w:val="576"/>
        </w:trPr>
        <w:tc>
          <w:tcPr>
            <w:tcW w:w="1705" w:type="dxa"/>
          </w:tcPr>
          <w:p w14:paraId="35C3DB71" w14:textId="77777777" w:rsidR="004B617B" w:rsidRPr="004B617B" w:rsidRDefault="004B617B" w:rsidP="00761502">
            <w:pPr>
              <w:jc w:val="both"/>
              <w:rPr>
                <w:rFonts w:ascii="Arial" w:hAnsi="Arial" w:cs="Arial"/>
                <w:b/>
                <w:color w:val="434341"/>
                <w:sz w:val="20"/>
                <w:szCs w:val="20"/>
              </w:rPr>
            </w:pPr>
            <w:r w:rsidRPr="004B617B">
              <w:rPr>
                <w:rFonts w:ascii="Arial" w:hAnsi="Arial" w:cs="Arial"/>
                <w:b/>
                <w:color w:val="434341"/>
                <w:sz w:val="20"/>
                <w:szCs w:val="20"/>
              </w:rPr>
              <w:t>Module Code</w:t>
            </w:r>
          </w:p>
        </w:tc>
        <w:tc>
          <w:tcPr>
            <w:tcW w:w="4500" w:type="dxa"/>
          </w:tcPr>
          <w:p w14:paraId="35C3DB72" w14:textId="77777777" w:rsidR="004B617B" w:rsidRPr="004B617B" w:rsidRDefault="004B617B" w:rsidP="00761502">
            <w:pPr>
              <w:jc w:val="both"/>
              <w:rPr>
                <w:rFonts w:ascii="Arial" w:hAnsi="Arial" w:cs="Arial"/>
                <w:b/>
                <w:color w:val="434341"/>
                <w:sz w:val="20"/>
                <w:szCs w:val="20"/>
              </w:rPr>
            </w:pPr>
            <w:r w:rsidRPr="004B617B">
              <w:rPr>
                <w:rFonts w:ascii="Arial" w:hAnsi="Arial" w:cs="Arial"/>
                <w:b/>
                <w:color w:val="434341"/>
                <w:sz w:val="20"/>
                <w:szCs w:val="20"/>
              </w:rPr>
              <w:t>Module Title</w:t>
            </w:r>
          </w:p>
        </w:tc>
        <w:tc>
          <w:tcPr>
            <w:tcW w:w="1530" w:type="dxa"/>
          </w:tcPr>
          <w:p w14:paraId="35C3DB73" w14:textId="77777777" w:rsidR="004B617B" w:rsidRPr="004B617B" w:rsidRDefault="004B617B" w:rsidP="00761502">
            <w:pPr>
              <w:jc w:val="both"/>
              <w:rPr>
                <w:rFonts w:ascii="Arial" w:hAnsi="Arial" w:cs="Arial"/>
                <w:b/>
                <w:color w:val="434341"/>
                <w:sz w:val="20"/>
                <w:szCs w:val="20"/>
              </w:rPr>
            </w:pPr>
            <w:r w:rsidRPr="004B617B">
              <w:rPr>
                <w:rFonts w:ascii="Arial" w:hAnsi="Arial" w:cs="Arial"/>
                <w:b/>
                <w:color w:val="434341"/>
                <w:sz w:val="20"/>
                <w:szCs w:val="20"/>
              </w:rPr>
              <w:t>Date of Exam Affected</w:t>
            </w:r>
          </w:p>
        </w:tc>
        <w:tc>
          <w:tcPr>
            <w:tcW w:w="2160" w:type="dxa"/>
          </w:tcPr>
          <w:p w14:paraId="35C3DB74" w14:textId="77777777" w:rsidR="004B617B" w:rsidRPr="004B617B" w:rsidRDefault="004B617B" w:rsidP="00761502">
            <w:pPr>
              <w:jc w:val="both"/>
              <w:rPr>
                <w:rFonts w:ascii="Arial" w:hAnsi="Arial" w:cs="Arial"/>
                <w:b/>
                <w:color w:val="434341"/>
                <w:sz w:val="20"/>
                <w:szCs w:val="20"/>
              </w:rPr>
            </w:pPr>
            <w:r w:rsidRPr="004B617B">
              <w:rPr>
                <w:rFonts w:ascii="Arial" w:hAnsi="Arial" w:cs="Arial"/>
                <w:b/>
                <w:color w:val="434341"/>
                <w:sz w:val="20"/>
                <w:szCs w:val="20"/>
              </w:rPr>
              <w:t xml:space="preserve">Reason for </w:t>
            </w:r>
            <w:r w:rsidRPr="004B617B">
              <w:rPr>
                <w:rFonts w:ascii="Arial" w:hAnsi="Arial" w:cs="Arial" w:hint="eastAsia"/>
                <w:b/>
                <w:color w:val="434341"/>
                <w:sz w:val="20"/>
                <w:szCs w:val="20"/>
              </w:rPr>
              <w:t>absence</w:t>
            </w:r>
          </w:p>
        </w:tc>
      </w:tr>
      <w:tr w:rsidR="004B617B" w14:paraId="35C3DB7A" w14:textId="77777777" w:rsidTr="004B617B">
        <w:trPr>
          <w:trHeight w:val="576"/>
        </w:trPr>
        <w:tc>
          <w:tcPr>
            <w:tcW w:w="1705" w:type="dxa"/>
          </w:tcPr>
          <w:p w14:paraId="35C3DB76" w14:textId="77777777" w:rsidR="004B617B" w:rsidRDefault="004B617B" w:rsidP="00761502">
            <w:pPr>
              <w:jc w:val="both"/>
              <w:rPr>
                <w:rFonts w:ascii="Arial" w:hAnsi="Arial" w:cs="Arial"/>
                <w:color w:val="434341"/>
                <w:sz w:val="20"/>
                <w:szCs w:val="20"/>
              </w:rPr>
            </w:pPr>
          </w:p>
        </w:tc>
        <w:tc>
          <w:tcPr>
            <w:tcW w:w="4500" w:type="dxa"/>
          </w:tcPr>
          <w:p w14:paraId="35C3DB77" w14:textId="77777777" w:rsidR="004B617B" w:rsidRDefault="004B617B" w:rsidP="00761502">
            <w:pPr>
              <w:jc w:val="both"/>
              <w:rPr>
                <w:rFonts w:ascii="Arial" w:hAnsi="Arial" w:cs="Arial"/>
                <w:color w:val="434341"/>
                <w:sz w:val="20"/>
                <w:szCs w:val="20"/>
              </w:rPr>
            </w:pPr>
          </w:p>
        </w:tc>
        <w:tc>
          <w:tcPr>
            <w:tcW w:w="1530" w:type="dxa"/>
          </w:tcPr>
          <w:p w14:paraId="35C3DB78" w14:textId="77777777" w:rsidR="004B617B" w:rsidRDefault="004B617B" w:rsidP="00761502">
            <w:pPr>
              <w:jc w:val="both"/>
              <w:rPr>
                <w:rFonts w:ascii="Arial" w:hAnsi="Arial" w:cs="Arial"/>
                <w:color w:val="434341"/>
                <w:sz w:val="20"/>
                <w:szCs w:val="20"/>
              </w:rPr>
            </w:pPr>
          </w:p>
        </w:tc>
        <w:tc>
          <w:tcPr>
            <w:tcW w:w="2160" w:type="dxa"/>
          </w:tcPr>
          <w:p w14:paraId="35C3DB79" w14:textId="77777777" w:rsidR="004B617B" w:rsidRDefault="004B617B" w:rsidP="00761502">
            <w:pPr>
              <w:jc w:val="both"/>
              <w:rPr>
                <w:rFonts w:ascii="Arial" w:hAnsi="Arial" w:cs="Arial"/>
                <w:color w:val="434341"/>
                <w:sz w:val="20"/>
                <w:szCs w:val="20"/>
              </w:rPr>
            </w:pPr>
          </w:p>
        </w:tc>
      </w:tr>
      <w:tr w:rsidR="004B617B" w14:paraId="35C3DB7F" w14:textId="77777777" w:rsidTr="004B617B">
        <w:trPr>
          <w:trHeight w:val="576"/>
        </w:trPr>
        <w:tc>
          <w:tcPr>
            <w:tcW w:w="1705" w:type="dxa"/>
          </w:tcPr>
          <w:p w14:paraId="35C3DB7B" w14:textId="77777777" w:rsidR="004B617B" w:rsidRDefault="004B617B" w:rsidP="00761502">
            <w:pPr>
              <w:jc w:val="both"/>
              <w:rPr>
                <w:rFonts w:ascii="Arial" w:hAnsi="Arial" w:cs="Arial"/>
                <w:color w:val="434341"/>
                <w:sz w:val="20"/>
                <w:szCs w:val="20"/>
              </w:rPr>
            </w:pPr>
          </w:p>
        </w:tc>
        <w:tc>
          <w:tcPr>
            <w:tcW w:w="4500" w:type="dxa"/>
          </w:tcPr>
          <w:p w14:paraId="35C3DB7C" w14:textId="77777777" w:rsidR="004B617B" w:rsidRDefault="004B617B" w:rsidP="00761502">
            <w:pPr>
              <w:jc w:val="both"/>
              <w:rPr>
                <w:rFonts w:ascii="Arial" w:hAnsi="Arial" w:cs="Arial"/>
                <w:color w:val="434341"/>
                <w:sz w:val="20"/>
                <w:szCs w:val="20"/>
              </w:rPr>
            </w:pPr>
          </w:p>
        </w:tc>
        <w:tc>
          <w:tcPr>
            <w:tcW w:w="1530" w:type="dxa"/>
          </w:tcPr>
          <w:p w14:paraId="35C3DB7D" w14:textId="77777777" w:rsidR="004B617B" w:rsidRDefault="004B617B" w:rsidP="00761502">
            <w:pPr>
              <w:jc w:val="both"/>
              <w:rPr>
                <w:rFonts w:ascii="Arial" w:hAnsi="Arial" w:cs="Arial"/>
                <w:color w:val="434341"/>
                <w:sz w:val="20"/>
                <w:szCs w:val="20"/>
              </w:rPr>
            </w:pPr>
          </w:p>
        </w:tc>
        <w:tc>
          <w:tcPr>
            <w:tcW w:w="2160" w:type="dxa"/>
          </w:tcPr>
          <w:p w14:paraId="35C3DB7E" w14:textId="77777777" w:rsidR="004B617B" w:rsidRDefault="004B617B" w:rsidP="00761502">
            <w:pPr>
              <w:jc w:val="both"/>
              <w:rPr>
                <w:rFonts w:ascii="Arial" w:hAnsi="Arial" w:cs="Arial"/>
                <w:color w:val="434341"/>
                <w:sz w:val="20"/>
                <w:szCs w:val="20"/>
              </w:rPr>
            </w:pPr>
          </w:p>
        </w:tc>
      </w:tr>
    </w:tbl>
    <w:p w14:paraId="35C3DB80" w14:textId="142B6E3F" w:rsidR="004B617B" w:rsidRDefault="006C32D1" w:rsidP="00761502">
      <w:pPr>
        <w:jc w:val="both"/>
        <w:rPr>
          <w:rFonts w:ascii="Arial" w:hAnsi="Arial" w:cs="Arial"/>
          <w:b/>
          <w:color w:val="434341"/>
          <w:sz w:val="24"/>
          <w:szCs w:val="24"/>
        </w:rPr>
      </w:pPr>
      <w:sdt>
        <w:sdtPr>
          <w:rPr>
            <w:rFonts w:ascii="Segoe UI Symbol" w:hAnsi="Segoe UI Symbol" w:cs="Segoe UI Symbol"/>
            <w:color w:val="434341"/>
            <w:sz w:val="32"/>
            <w:szCs w:val="32"/>
          </w:rPr>
          <w:id w:val="320244642"/>
          <w14:checkbox>
            <w14:checked w14:val="0"/>
            <w14:checkedState w14:val="2612" w14:font="MS Gothic"/>
            <w14:uncheckedState w14:val="2610" w14:font="MS Gothic"/>
          </w14:checkbox>
        </w:sdtPr>
        <w:sdtEndPr/>
        <w:sdtContent>
          <w:r w:rsidR="002C6B0C">
            <w:rPr>
              <w:rFonts w:ascii="MS Gothic" w:eastAsia="MS Gothic" w:hAnsi="MS Gothic" w:cs="Segoe UI Symbol" w:hint="eastAsia"/>
              <w:color w:val="434341"/>
              <w:sz w:val="32"/>
              <w:szCs w:val="32"/>
            </w:rPr>
            <w:t>☐</w:t>
          </w:r>
        </w:sdtContent>
      </w:sdt>
      <w:r w:rsidR="004B617B" w:rsidRPr="004B617B">
        <w:rPr>
          <w:rFonts w:ascii="Arial" w:hAnsi="Arial" w:cs="Arial"/>
          <w:b/>
          <w:color w:val="434341"/>
          <w:sz w:val="28"/>
          <w:szCs w:val="28"/>
        </w:rPr>
        <w:t xml:space="preserve"> </w:t>
      </w:r>
      <w:r w:rsidR="00A22D14" w:rsidRPr="004B617B">
        <w:rPr>
          <w:rFonts w:ascii="Arial" w:hAnsi="Arial" w:cs="Arial"/>
          <w:b/>
          <w:color w:val="434341"/>
          <w:sz w:val="24"/>
          <w:szCs w:val="24"/>
        </w:rPr>
        <w:t xml:space="preserve">I wish to self-certify my absence from </w:t>
      </w:r>
      <w:r w:rsidR="004B617B" w:rsidRPr="004B617B">
        <w:rPr>
          <w:rFonts w:ascii="Arial" w:hAnsi="Arial" w:cs="Arial"/>
          <w:b/>
          <w:color w:val="434341"/>
          <w:sz w:val="24"/>
          <w:szCs w:val="24"/>
        </w:rPr>
        <w:t>above</w:t>
      </w:r>
      <w:r w:rsidR="00A22D14" w:rsidRPr="004B617B">
        <w:rPr>
          <w:rFonts w:ascii="Arial" w:hAnsi="Arial" w:cs="Arial"/>
          <w:b/>
          <w:color w:val="434341"/>
          <w:sz w:val="24"/>
          <w:szCs w:val="24"/>
        </w:rPr>
        <w:t xml:space="preserve"> examination</w:t>
      </w:r>
      <w:r w:rsidR="004B617B" w:rsidRPr="004B617B">
        <w:rPr>
          <w:rFonts w:ascii="Arial" w:hAnsi="Arial" w:cs="Arial" w:hint="eastAsia"/>
          <w:b/>
          <w:color w:val="434341"/>
          <w:sz w:val="24"/>
          <w:szCs w:val="24"/>
        </w:rPr>
        <w:t>(</w:t>
      </w:r>
      <w:r w:rsidR="004B617B" w:rsidRPr="004B617B">
        <w:rPr>
          <w:rFonts w:ascii="Arial" w:hAnsi="Arial" w:cs="Arial"/>
          <w:b/>
          <w:color w:val="434341"/>
          <w:sz w:val="24"/>
          <w:szCs w:val="24"/>
        </w:rPr>
        <w:t>s)</w:t>
      </w:r>
      <w:r w:rsidR="00A22D14" w:rsidRPr="004B617B">
        <w:rPr>
          <w:rFonts w:ascii="Arial" w:hAnsi="Arial" w:cs="Arial"/>
          <w:b/>
          <w:color w:val="434341"/>
          <w:sz w:val="24"/>
          <w:szCs w:val="24"/>
        </w:rPr>
        <w:t xml:space="preserve">. </w:t>
      </w:r>
    </w:p>
    <w:p w14:paraId="35C3DB81" w14:textId="77777777" w:rsidR="00A22D14" w:rsidRPr="004B617B" w:rsidRDefault="00A22D14" w:rsidP="00761502">
      <w:pPr>
        <w:jc w:val="both"/>
        <w:rPr>
          <w:rFonts w:ascii="Arial" w:hAnsi="Arial" w:cs="Arial"/>
          <w:color w:val="434341"/>
          <w:sz w:val="20"/>
          <w:szCs w:val="20"/>
        </w:rPr>
      </w:pPr>
      <w:r w:rsidRPr="004B617B">
        <w:rPr>
          <w:rFonts w:ascii="Arial" w:hAnsi="Arial" w:cs="Arial"/>
          <w:color w:val="434341"/>
          <w:sz w:val="20"/>
          <w:szCs w:val="20"/>
        </w:rPr>
        <w:t xml:space="preserve">By selecting the above box, I confirm that: </w:t>
      </w:r>
    </w:p>
    <w:p w14:paraId="35C3DB82" w14:textId="77777777" w:rsidR="00A22D14" w:rsidRPr="004B617B" w:rsidRDefault="00A22D14" w:rsidP="00761502">
      <w:pPr>
        <w:pStyle w:val="ListParagraph"/>
        <w:numPr>
          <w:ilvl w:val="0"/>
          <w:numId w:val="2"/>
        </w:numPr>
        <w:jc w:val="both"/>
        <w:rPr>
          <w:rFonts w:ascii="Arial" w:hAnsi="Arial" w:cs="Arial"/>
          <w:color w:val="434341"/>
          <w:sz w:val="20"/>
          <w:szCs w:val="20"/>
        </w:rPr>
      </w:pPr>
      <w:r w:rsidRPr="004B617B">
        <w:rPr>
          <w:rFonts w:ascii="Arial" w:hAnsi="Arial" w:cs="Arial"/>
          <w:color w:val="434341"/>
          <w:sz w:val="20"/>
          <w:szCs w:val="20"/>
        </w:rPr>
        <w:t xml:space="preserve">I have read and understood the Examination Self-Certification Policy. </w:t>
      </w:r>
    </w:p>
    <w:p w14:paraId="35C3DB83" w14:textId="77777777" w:rsidR="00A22D14" w:rsidRPr="004B617B" w:rsidRDefault="00A22D14" w:rsidP="00761502">
      <w:pPr>
        <w:pStyle w:val="ListParagraph"/>
        <w:numPr>
          <w:ilvl w:val="0"/>
          <w:numId w:val="2"/>
        </w:numPr>
        <w:jc w:val="both"/>
        <w:rPr>
          <w:rFonts w:ascii="Arial" w:hAnsi="Arial" w:cs="Arial"/>
          <w:color w:val="434341"/>
          <w:sz w:val="20"/>
          <w:szCs w:val="20"/>
        </w:rPr>
      </w:pPr>
      <w:r w:rsidRPr="004B617B">
        <w:rPr>
          <w:rFonts w:ascii="Arial" w:hAnsi="Arial" w:cs="Arial"/>
          <w:color w:val="434341"/>
          <w:sz w:val="20"/>
          <w:szCs w:val="20"/>
        </w:rPr>
        <w:t xml:space="preserve">I am unable to obtain evidence in support of my claim. </w:t>
      </w:r>
    </w:p>
    <w:p w14:paraId="35C3DB84" w14:textId="77777777" w:rsidR="00A22D14" w:rsidRPr="004B617B" w:rsidRDefault="00A22D14" w:rsidP="00761502">
      <w:pPr>
        <w:pStyle w:val="ListParagraph"/>
        <w:numPr>
          <w:ilvl w:val="0"/>
          <w:numId w:val="2"/>
        </w:numPr>
        <w:jc w:val="both"/>
        <w:rPr>
          <w:rFonts w:ascii="Arial" w:hAnsi="Arial" w:cs="Arial"/>
          <w:color w:val="434341"/>
          <w:sz w:val="20"/>
          <w:szCs w:val="20"/>
        </w:rPr>
      </w:pPr>
      <w:r w:rsidRPr="004B617B">
        <w:rPr>
          <w:rFonts w:ascii="Arial" w:hAnsi="Arial" w:cs="Arial"/>
          <w:color w:val="434341"/>
          <w:sz w:val="20"/>
          <w:szCs w:val="20"/>
        </w:rPr>
        <w:t xml:space="preserve">I was unable to attend the examination(s) in question due to circumstances which were beyond my control. </w:t>
      </w:r>
    </w:p>
    <w:p w14:paraId="35C3DB85" w14:textId="77777777" w:rsidR="004B617B" w:rsidRPr="004B617B" w:rsidRDefault="00A22D14" w:rsidP="00761502">
      <w:pPr>
        <w:pStyle w:val="ListParagraph"/>
        <w:numPr>
          <w:ilvl w:val="0"/>
          <w:numId w:val="2"/>
        </w:numPr>
        <w:jc w:val="both"/>
        <w:rPr>
          <w:rFonts w:ascii="Arial" w:hAnsi="Arial" w:cs="Arial"/>
          <w:color w:val="434341"/>
          <w:sz w:val="20"/>
          <w:szCs w:val="20"/>
        </w:rPr>
      </w:pPr>
      <w:r w:rsidRPr="004B617B">
        <w:rPr>
          <w:rFonts w:ascii="Arial" w:hAnsi="Arial" w:cs="Arial"/>
          <w:color w:val="434341"/>
          <w:sz w:val="20"/>
          <w:szCs w:val="20"/>
        </w:rPr>
        <w:t>I understand that the only potential outcome of a self-certificated absence claim is a further attempt at the assessment and that bespoke examinations to facilitate progression, graduation etc. will not be scheduled.</w:t>
      </w:r>
    </w:p>
    <w:p w14:paraId="41BD30B8" w14:textId="19CEFF93" w:rsidR="004B10E1" w:rsidRPr="004B617B" w:rsidRDefault="00A22D14" w:rsidP="00761502">
      <w:pPr>
        <w:jc w:val="both"/>
        <w:rPr>
          <w:rFonts w:ascii="Arial" w:hAnsi="Arial" w:cs="Arial"/>
          <w:b/>
          <w:color w:val="434341"/>
        </w:rPr>
      </w:pPr>
      <w:r w:rsidRPr="004B617B">
        <w:rPr>
          <w:rFonts w:ascii="Arial" w:hAnsi="Arial" w:cs="Arial" w:hint="eastAsia"/>
          <w:b/>
          <w:color w:val="434341"/>
        </w:rPr>
        <w:t>Signature</w:t>
      </w:r>
      <w:r w:rsidRPr="004B617B">
        <w:rPr>
          <w:rFonts w:ascii="Arial" w:hAnsi="Arial" w:cs="Arial"/>
          <w:b/>
          <w:color w:val="434341"/>
        </w:rPr>
        <w:t>:</w:t>
      </w:r>
    </w:p>
    <w:p w14:paraId="6A28027D" w14:textId="6DA1F71A" w:rsidR="004B10E1" w:rsidRDefault="004B617B" w:rsidP="00412775">
      <w:pPr>
        <w:jc w:val="both"/>
        <w:rPr>
          <w:rFonts w:ascii="Arial" w:hAnsi="Arial" w:cs="Arial"/>
          <w:b/>
          <w:color w:val="434341"/>
        </w:rPr>
      </w:pPr>
      <w:r w:rsidRPr="004B617B">
        <w:rPr>
          <w:rFonts w:ascii="Arial" w:hAnsi="Arial" w:cs="Arial"/>
          <w:b/>
          <w:color w:val="434341"/>
        </w:rPr>
        <w:t>Date</w:t>
      </w:r>
      <w:r w:rsidR="00A22D14" w:rsidRPr="004B617B">
        <w:rPr>
          <w:rFonts w:ascii="Arial" w:hAnsi="Arial" w:cs="Arial"/>
          <w:b/>
          <w:color w:val="434341"/>
        </w:rPr>
        <w:t>:</w:t>
      </w:r>
    </w:p>
    <w:p w14:paraId="35C3DB88" w14:textId="5A6498D2" w:rsidR="00D055FE" w:rsidRDefault="00D055FE" w:rsidP="00D055FE">
      <w:pPr>
        <w:rPr>
          <w:rFonts w:ascii="Arial" w:hAnsi="Arial" w:cs="Arial"/>
          <w:b/>
          <w:color w:val="434341"/>
        </w:rPr>
      </w:pPr>
      <w:r>
        <w:rPr>
          <w:rFonts w:ascii="Arial" w:hAnsi="Arial" w:cs="Arial"/>
          <w:b/>
          <w:color w:val="434341"/>
        </w:rPr>
        <w:t xml:space="preserve">Please submit this section </w:t>
      </w:r>
      <w:r w:rsidR="00C05710">
        <w:rPr>
          <w:rFonts w:ascii="Arial" w:hAnsi="Arial" w:cs="Arial"/>
          <w:b/>
          <w:color w:val="434341"/>
        </w:rPr>
        <w:t xml:space="preserve">together </w:t>
      </w:r>
      <w:r>
        <w:rPr>
          <w:rFonts w:ascii="Arial" w:hAnsi="Arial" w:cs="Arial"/>
          <w:b/>
          <w:color w:val="434341"/>
        </w:rPr>
        <w:t xml:space="preserve">with your </w:t>
      </w:r>
      <w:r w:rsidR="00C05710">
        <w:rPr>
          <w:rFonts w:ascii="Arial" w:hAnsi="Arial" w:cs="Arial"/>
          <w:b/>
          <w:color w:val="434341"/>
        </w:rPr>
        <w:t xml:space="preserve">completed </w:t>
      </w:r>
      <w:hyperlink r:id="rId11" w:history="1">
        <w:r w:rsidRPr="002C6B0C">
          <w:rPr>
            <w:rStyle w:val="Hyperlink"/>
            <w:rFonts w:ascii="Arial" w:hAnsi="Arial" w:cs="Arial"/>
            <w:b/>
          </w:rPr>
          <w:t>extenuating circumstances form</w:t>
        </w:r>
      </w:hyperlink>
      <w:r>
        <w:rPr>
          <w:rFonts w:ascii="Arial" w:hAnsi="Arial" w:cs="Arial"/>
          <w:b/>
          <w:color w:val="434341"/>
        </w:rPr>
        <w:t xml:space="preserve"> to The Hub (Portland Building 120) or email </w:t>
      </w:r>
      <w:hyperlink r:id="rId12" w:history="1">
        <w:r w:rsidRPr="00580988">
          <w:rPr>
            <w:rStyle w:val="Hyperlink"/>
            <w:rFonts w:ascii="Arial" w:hAnsi="Arial" w:cs="Arial"/>
            <w:b/>
          </w:rPr>
          <w:t>thehub@nottingham.edu.cn</w:t>
        </w:r>
      </w:hyperlink>
      <w:r>
        <w:rPr>
          <w:rFonts w:ascii="Arial" w:hAnsi="Arial" w:cs="Arial"/>
          <w:b/>
          <w:color w:val="434341"/>
        </w:rPr>
        <w:t xml:space="preserve"> </w:t>
      </w:r>
    </w:p>
    <w:sectPr w:rsidR="00D055FE" w:rsidSect="00412775">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DB8B" w14:textId="77777777" w:rsidR="003C3D5A" w:rsidRDefault="003C3D5A" w:rsidP="00A22D14">
      <w:pPr>
        <w:spacing w:after="0" w:line="240" w:lineRule="auto"/>
      </w:pPr>
      <w:r>
        <w:separator/>
      </w:r>
    </w:p>
  </w:endnote>
  <w:endnote w:type="continuationSeparator" w:id="0">
    <w:p w14:paraId="35C3DB8C" w14:textId="77777777" w:rsidR="003C3D5A" w:rsidRDefault="003C3D5A" w:rsidP="00A2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DB8F" w14:textId="17FDDA3D" w:rsidR="00025779" w:rsidRDefault="00025779">
    <w:pPr>
      <w:pStyle w:val="Footer"/>
    </w:pPr>
    <w:r>
      <w:rPr>
        <w:rFonts w:hint="eastAsia"/>
      </w:rPr>
      <w:t>L</w:t>
    </w:r>
    <w:r>
      <w:t xml:space="preserve">ast modified </w:t>
    </w:r>
    <w:r w:rsidR="002C6B0C">
      <w:t>Dec</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3DB89" w14:textId="77777777" w:rsidR="003C3D5A" w:rsidRDefault="003C3D5A" w:rsidP="00A22D14">
      <w:pPr>
        <w:spacing w:after="0" w:line="240" w:lineRule="auto"/>
      </w:pPr>
      <w:r>
        <w:separator/>
      </w:r>
    </w:p>
  </w:footnote>
  <w:footnote w:type="continuationSeparator" w:id="0">
    <w:p w14:paraId="35C3DB8A" w14:textId="77777777" w:rsidR="003C3D5A" w:rsidRDefault="003C3D5A" w:rsidP="00A22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DB8E" w14:textId="795F484E" w:rsidR="00412775" w:rsidRPr="002C6B0C" w:rsidRDefault="00D055FE" w:rsidP="002C6B0C">
    <w:pPr>
      <w:pStyle w:val="Header"/>
      <w:pBdr>
        <w:bottom w:val="single" w:sz="6" w:space="1" w:color="auto"/>
      </w:pBdr>
      <w:rPr>
        <w:rFonts w:ascii="Arial" w:hAnsi="Arial" w:cs="Arial"/>
        <w:b/>
        <w:shd w:val="clear" w:color="auto" w:fill="FFFFFF"/>
      </w:rPr>
    </w:pPr>
    <w:r w:rsidRPr="00D055FE">
      <w:rPr>
        <w:rFonts w:ascii="Arial" w:hAnsi="Arial" w:cs="Arial"/>
        <w:b/>
        <w:shd w:val="clear" w:color="auto" w:fill="FFFFFF"/>
      </w:rPr>
      <w:t>This page contains the University's policy on self-certification for examinations. Its content is only applicable to staff and students at the UK and China campuses.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89E"/>
    <w:multiLevelType w:val="hybridMultilevel"/>
    <w:tmpl w:val="8A1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1D3E"/>
    <w:multiLevelType w:val="multilevel"/>
    <w:tmpl w:val="F08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AF"/>
    <w:rsid w:val="00025779"/>
    <w:rsid w:val="001A4E4C"/>
    <w:rsid w:val="00205A3F"/>
    <w:rsid w:val="00250169"/>
    <w:rsid w:val="002C6B0C"/>
    <w:rsid w:val="002D4D6E"/>
    <w:rsid w:val="003555BF"/>
    <w:rsid w:val="003B1274"/>
    <w:rsid w:val="003C3D5A"/>
    <w:rsid w:val="003F1BAF"/>
    <w:rsid w:val="004057B7"/>
    <w:rsid w:val="00412775"/>
    <w:rsid w:val="004B10E1"/>
    <w:rsid w:val="004B617B"/>
    <w:rsid w:val="006164EF"/>
    <w:rsid w:val="006C32D1"/>
    <w:rsid w:val="00761502"/>
    <w:rsid w:val="007F38BD"/>
    <w:rsid w:val="00A22D14"/>
    <w:rsid w:val="00C05710"/>
    <w:rsid w:val="00C11CB0"/>
    <w:rsid w:val="00C94464"/>
    <w:rsid w:val="00D055FE"/>
    <w:rsid w:val="00D8094D"/>
    <w:rsid w:val="00E25534"/>
    <w:rsid w:val="00E3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3DB4A"/>
  <w15:chartTrackingRefBased/>
  <w15:docId w15:val="{EDD1CF47-1B96-4D59-877F-42FF4AB3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1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F1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B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1BA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F1B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BAF"/>
    <w:rPr>
      <w:color w:val="0000FF"/>
      <w:u w:val="single"/>
    </w:rPr>
  </w:style>
  <w:style w:type="paragraph" w:styleId="Header">
    <w:name w:val="header"/>
    <w:basedOn w:val="Normal"/>
    <w:link w:val="HeaderChar"/>
    <w:uiPriority w:val="99"/>
    <w:unhideWhenUsed/>
    <w:rsid w:val="00A22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14"/>
  </w:style>
  <w:style w:type="paragraph" w:styleId="Footer">
    <w:name w:val="footer"/>
    <w:basedOn w:val="Normal"/>
    <w:link w:val="FooterChar"/>
    <w:uiPriority w:val="99"/>
    <w:unhideWhenUsed/>
    <w:rsid w:val="00A22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D14"/>
  </w:style>
  <w:style w:type="table" w:styleId="TableGrid">
    <w:name w:val="Table Grid"/>
    <w:basedOn w:val="TableNormal"/>
    <w:uiPriority w:val="39"/>
    <w:rsid w:val="006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17B"/>
    <w:pPr>
      <w:ind w:left="720"/>
      <w:contextualSpacing/>
    </w:pPr>
  </w:style>
  <w:style w:type="paragraph" w:styleId="BalloonText">
    <w:name w:val="Balloon Text"/>
    <w:basedOn w:val="Normal"/>
    <w:link w:val="BalloonTextChar"/>
    <w:uiPriority w:val="99"/>
    <w:semiHidden/>
    <w:unhideWhenUsed/>
    <w:rsid w:val="004B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930">
      <w:bodyDiv w:val="1"/>
      <w:marLeft w:val="0"/>
      <w:marRight w:val="0"/>
      <w:marTop w:val="0"/>
      <w:marBottom w:val="0"/>
      <w:divBdr>
        <w:top w:val="none" w:sz="0" w:space="0" w:color="auto"/>
        <w:left w:val="none" w:sz="0" w:space="0" w:color="auto"/>
        <w:bottom w:val="none" w:sz="0" w:space="0" w:color="auto"/>
        <w:right w:val="none" w:sz="0" w:space="0" w:color="auto"/>
      </w:divBdr>
    </w:div>
    <w:div w:id="495847258">
      <w:bodyDiv w:val="1"/>
      <w:marLeft w:val="0"/>
      <w:marRight w:val="0"/>
      <w:marTop w:val="0"/>
      <w:marBottom w:val="0"/>
      <w:divBdr>
        <w:top w:val="none" w:sz="0" w:space="0" w:color="auto"/>
        <w:left w:val="none" w:sz="0" w:space="0" w:color="auto"/>
        <w:bottom w:val="none" w:sz="0" w:space="0" w:color="auto"/>
        <w:right w:val="none" w:sz="0" w:space="0" w:color="auto"/>
      </w:divBdr>
    </w:div>
    <w:div w:id="600114427">
      <w:bodyDiv w:val="1"/>
      <w:marLeft w:val="0"/>
      <w:marRight w:val="0"/>
      <w:marTop w:val="0"/>
      <w:marBottom w:val="0"/>
      <w:divBdr>
        <w:top w:val="none" w:sz="0" w:space="0" w:color="auto"/>
        <w:left w:val="none" w:sz="0" w:space="0" w:color="auto"/>
        <w:bottom w:val="none" w:sz="0" w:space="0" w:color="auto"/>
        <w:right w:val="none" w:sz="0" w:space="0" w:color="auto"/>
      </w:divBdr>
    </w:div>
    <w:div w:id="627391225">
      <w:bodyDiv w:val="1"/>
      <w:marLeft w:val="0"/>
      <w:marRight w:val="0"/>
      <w:marTop w:val="0"/>
      <w:marBottom w:val="0"/>
      <w:divBdr>
        <w:top w:val="none" w:sz="0" w:space="0" w:color="auto"/>
        <w:left w:val="none" w:sz="0" w:space="0" w:color="auto"/>
        <w:bottom w:val="none" w:sz="0" w:space="0" w:color="auto"/>
        <w:right w:val="none" w:sz="0" w:space="0" w:color="auto"/>
      </w:divBdr>
      <w:divsChild>
        <w:div w:id="1038966014">
          <w:marLeft w:val="0"/>
          <w:marRight w:val="0"/>
          <w:marTop w:val="0"/>
          <w:marBottom w:val="120"/>
          <w:divBdr>
            <w:top w:val="none" w:sz="0" w:space="0" w:color="auto"/>
            <w:left w:val="none" w:sz="0" w:space="0" w:color="auto"/>
            <w:bottom w:val="none" w:sz="0" w:space="0" w:color="auto"/>
            <w:right w:val="none" w:sz="0" w:space="0" w:color="auto"/>
          </w:divBdr>
        </w:div>
      </w:divsChild>
    </w:div>
    <w:div w:id="873230699">
      <w:bodyDiv w:val="1"/>
      <w:marLeft w:val="0"/>
      <w:marRight w:val="0"/>
      <w:marTop w:val="0"/>
      <w:marBottom w:val="0"/>
      <w:divBdr>
        <w:top w:val="none" w:sz="0" w:space="0" w:color="auto"/>
        <w:left w:val="none" w:sz="0" w:space="0" w:color="auto"/>
        <w:bottom w:val="none" w:sz="0" w:space="0" w:color="auto"/>
        <w:right w:val="none" w:sz="0" w:space="0" w:color="auto"/>
      </w:divBdr>
    </w:div>
    <w:div w:id="977035743">
      <w:bodyDiv w:val="1"/>
      <w:marLeft w:val="0"/>
      <w:marRight w:val="0"/>
      <w:marTop w:val="0"/>
      <w:marBottom w:val="0"/>
      <w:divBdr>
        <w:top w:val="none" w:sz="0" w:space="0" w:color="auto"/>
        <w:left w:val="none" w:sz="0" w:space="0" w:color="auto"/>
        <w:bottom w:val="none" w:sz="0" w:space="0" w:color="auto"/>
        <w:right w:val="none" w:sz="0" w:space="0" w:color="auto"/>
      </w:divBdr>
    </w:div>
    <w:div w:id="1377045018">
      <w:bodyDiv w:val="1"/>
      <w:marLeft w:val="0"/>
      <w:marRight w:val="0"/>
      <w:marTop w:val="0"/>
      <w:marBottom w:val="0"/>
      <w:divBdr>
        <w:top w:val="none" w:sz="0" w:space="0" w:color="auto"/>
        <w:left w:val="none" w:sz="0" w:space="0" w:color="auto"/>
        <w:bottom w:val="none" w:sz="0" w:space="0" w:color="auto"/>
        <w:right w:val="none" w:sz="0" w:space="0" w:color="auto"/>
      </w:divBdr>
    </w:div>
    <w:div w:id="1399596586">
      <w:bodyDiv w:val="1"/>
      <w:marLeft w:val="0"/>
      <w:marRight w:val="0"/>
      <w:marTop w:val="0"/>
      <w:marBottom w:val="0"/>
      <w:divBdr>
        <w:top w:val="none" w:sz="0" w:space="0" w:color="auto"/>
        <w:left w:val="none" w:sz="0" w:space="0" w:color="auto"/>
        <w:bottom w:val="none" w:sz="0" w:space="0" w:color="auto"/>
        <w:right w:val="none" w:sz="0" w:space="0" w:color="auto"/>
      </w:divBdr>
    </w:div>
    <w:div w:id="1622305542">
      <w:bodyDiv w:val="1"/>
      <w:marLeft w:val="0"/>
      <w:marRight w:val="0"/>
      <w:marTop w:val="0"/>
      <w:marBottom w:val="0"/>
      <w:divBdr>
        <w:top w:val="none" w:sz="0" w:space="0" w:color="auto"/>
        <w:left w:val="none" w:sz="0" w:space="0" w:color="auto"/>
        <w:bottom w:val="none" w:sz="0" w:space="0" w:color="auto"/>
        <w:right w:val="none" w:sz="0" w:space="0" w:color="auto"/>
      </w:divBdr>
    </w:div>
    <w:div w:id="1633249988">
      <w:bodyDiv w:val="1"/>
      <w:marLeft w:val="0"/>
      <w:marRight w:val="0"/>
      <w:marTop w:val="0"/>
      <w:marBottom w:val="0"/>
      <w:divBdr>
        <w:top w:val="none" w:sz="0" w:space="0" w:color="auto"/>
        <w:left w:val="none" w:sz="0" w:space="0" w:color="auto"/>
        <w:bottom w:val="none" w:sz="0" w:space="0" w:color="auto"/>
        <w:right w:val="none" w:sz="0" w:space="0" w:color="auto"/>
      </w:divBdr>
    </w:div>
    <w:div w:id="21325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ehub@nottingham.edu.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ttingham.edu.cn/en/the-hub/documents/extenuating-circumstances-form-unnc-proposed-for-202021-format-updated-v4-for-print.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ttingham.edu.cn/en/academicservices/extenuating-circumstances/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77AA187729949828378F4771635DF" ma:contentTypeVersion="8" ma:contentTypeDescription="Create a new document." ma:contentTypeScope="" ma:versionID="e0405b5135c622724f4b49b8454b9151">
  <xsd:schema xmlns:xsd="http://www.w3.org/2001/XMLSchema" xmlns:xs="http://www.w3.org/2001/XMLSchema" xmlns:p="http://schemas.microsoft.com/office/2006/metadata/properties" xmlns:ns2="f5489ad5-034d-4e68-9f1b-36fea412f5e1" targetNamespace="http://schemas.microsoft.com/office/2006/metadata/properties" ma:root="true" ma:fieldsID="51614157ae6e2c639653a313f437b88d" ns2:_="">
    <xsd:import namespace="f5489ad5-034d-4e68-9f1b-36fea412f5e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89ad5-034d-4e68-9f1b-36fea412f5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8F3A6-010F-4327-ACBA-B8E6CA177471}">
  <ds:schemaRefs>
    <ds:schemaRef ds:uri="http://schemas.openxmlformats.org/package/2006/metadata/core-properties"/>
    <ds:schemaRef ds:uri="http://purl.org/dc/terms/"/>
    <ds:schemaRef ds:uri="http://schemas.microsoft.com/office/2006/metadata/properties"/>
    <ds:schemaRef ds:uri="http://www.w3.org/XML/1998/namespace"/>
    <ds:schemaRef ds:uri="f5489ad5-034d-4e68-9f1b-36fea412f5e1"/>
    <ds:schemaRef ds:uri="http://schemas.microsoft.com/office/2006/documentManagement/type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E6AF657F-42D3-4061-8AF8-4275DFBAA176}">
  <ds:schemaRefs>
    <ds:schemaRef ds:uri="http://schemas.microsoft.com/sharepoint/v3/contenttype/forms"/>
  </ds:schemaRefs>
</ds:datastoreItem>
</file>

<file path=customXml/itemProps3.xml><?xml version="1.0" encoding="utf-8"?>
<ds:datastoreItem xmlns:ds="http://schemas.openxmlformats.org/officeDocument/2006/customXml" ds:itemID="{BA4AB692-5900-4CA3-8F9F-BEBD7E15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89ad5-034d-4e68-9f1b-36fea412f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Guo</dc:creator>
  <cp:keywords/>
  <dc:description/>
  <cp:lastModifiedBy>Clark Guo</cp:lastModifiedBy>
  <cp:revision>2</cp:revision>
  <dcterms:created xsi:type="dcterms:W3CDTF">2020-12-21T01:52:00Z</dcterms:created>
  <dcterms:modified xsi:type="dcterms:W3CDTF">2020-12-21T01:52:00Z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0x01010018977AA187729949828378F4771635DF</vt:lpwstr>
  </property>
</Properties>
</file>