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6ABFB" w14:textId="77777777" w:rsidR="00406503" w:rsidRDefault="00F7713A" w:rsidP="008628F2">
      <w:pPr>
        <w:pStyle w:val="Heading11"/>
        <w:jc w:val="center"/>
      </w:pPr>
      <w:r>
        <w:t>宁波诺丁汉大学</w:t>
      </w:r>
      <w:r>
        <w:t xml:space="preserve"> “</w:t>
      </w:r>
      <w:r>
        <w:t>科技绿茵・云端竞技</w:t>
      </w:r>
      <w:r>
        <w:t xml:space="preserve">” </w:t>
      </w:r>
      <w:r>
        <w:t>无人机足球障碍赛活动方案</w:t>
      </w:r>
    </w:p>
    <w:p w14:paraId="6F66ABFC" w14:textId="77777777" w:rsidR="00406503" w:rsidRDefault="00F7713A" w:rsidP="008628F2">
      <w:pPr>
        <w:pStyle w:val="Heading21"/>
        <w:jc w:val="both"/>
      </w:pPr>
      <w:r>
        <w:t>一、活动基础信息</w:t>
      </w:r>
    </w:p>
    <w:p w14:paraId="00BA9C10" w14:textId="24F5DE78" w:rsidR="00DF5CEE" w:rsidRDefault="00F7713A" w:rsidP="008628F2">
      <w:pPr>
        <w:pStyle w:val="Heading31"/>
        <w:jc w:val="both"/>
      </w:pPr>
      <w:r>
        <w:t>（一）活动主题</w:t>
      </w:r>
    </w:p>
    <w:p w14:paraId="6F66ABFE" w14:textId="07858C37" w:rsidR="00406503" w:rsidRDefault="00F7713A" w:rsidP="00DF5CEE">
      <w:pPr>
        <w:pStyle w:val="Style13"/>
        <w:ind w:left="840"/>
        <w:jc w:val="both"/>
      </w:pPr>
      <w:r>
        <w:t>宁波诺丁汉大学无人机足球障碍赛</w:t>
      </w:r>
    </w:p>
    <w:p w14:paraId="6F66ABFF" w14:textId="77777777" w:rsidR="00406503" w:rsidRDefault="00F7713A" w:rsidP="008628F2">
      <w:pPr>
        <w:pStyle w:val="Heading31"/>
        <w:jc w:val="both"/>
      </w:pPr>
      <w:r>
        <w:t>（二）活动宗旨</w:t>
      </w:r>
    </w:p>
    <w:p w14:paraId="6F66AC00" w14:textId="0002B8C0" w:rsidR="00406503" w:rsidRDefault="00F7713A" w:rsidP="00DF5CEE">
      <w:pPr>
        <w:pStyle w:val="Style13"/>
        <w:ind w:left="840"/>
        <w:jc w:val="both"/>
      </w:pPr>
      <w:r>
        <w:t>响应无人机足球纳入全国运动会的发展趋势，融合科技竞技与团队协作，为宁波诺丁汉大学学生打造沉浸式科技体验平台。通过</w:t>
      </w:r>
      <w:r>
        <w:t xml:space="preserve"> “</w:t>
      </w:r>
      <w:r>
        <w:t>对抗</w:t>
      </w:r>
      <w:r>
        <w:t xml:space="preserve"> + </w:t>
      </w:r>
      <w:r>
        <w:t>障碍</w:t>
      </w:r>
      <w:r>
        <w:t xml:space="preserve">” </w:t>
      </w:r>
      <w:r>
        <w:t>的创新赛制，激发学生对智能控制、航空科技的兴趣，培养精准操控能力与战术思维，展现国际化校园的科创活力。</w:t>
      </w:r>
    </w:p>
    <w:p w14:paraId="6F66AC01" w14:textId="77777777" w:rsidR="00406503" w:rsidRDefault="00F7713A" w:rsidP="008628F2">
      <w:pPr>
        <w:pStyle w:val="Heading31"/>
        <w:jc w:val="both"/>
      </w:pPr>
      <w:r>
        <w:t>（三）参与规模</w:t>
      </w:r>
    </w:p>
    <w:p w14:paraId="6F66AC02" w14:textId="7A09A1EA" w:rsidR="00406503" w:rsidRDefault="00F7713A" w:rsidP="00DF5CEE">
      <w:pPr>
        <w:pStyle w:val="Style13"/>
        <w:ind w:left="840"/>
        <w:jc w:val="both"/>
      </w:pPr>
      <w:r>
        <w:t xml:space="preserve">60-80 </w:t>
      </w:r>
      <w:r>
        <w:t>人，包含参赛选手、工作人员及观摩观众，其中参赛选手</w:t>
      </w:r>
      <w:r>
        <w:t xml:space="preserve"> 45-60 </w:t>
      </w:r>
      <w:r>
        <w:t>人（组成</w:t>
      </w:r>
      <w:r>
        <w:t xml:space="preserve"> 15-20 </w:t>
      </w:r>
      <w:r>
        <w:t>支队伍），工作人员</w:t>
      </w:r>
      <w:r>
        <w:t xml:space="preserve"> </w:t>
      </w:r>
      <w:r>
        <w:rPr>
          <w:rFonts w:hint="eastAsia"/>
        </w:rPr>
        <w:t>4-8</w:t>
      </w:r>
      <w:r>
        <w:t>人（含裁判、技术支持、秩序维护）。</w:t>
      </w:r>
    </w:p>
    <w:p w14:paraId="6F66AC03" w14:textId="77777777" w:rsidR="00406503" w:rsidRDefault="00F7713A" w:rsidP="008628F2">
      <w:pPr>
        <w:pStyle w:val="Heading31"/>
        <w:jc w:val="both"/>
      </w:pPr>
      <w:r>
        <w:t>（四）活动时间</w:t>
      </w:r>
    </w:p>
    <w:p w14:paraId="6F66AC04" w14:textId="006D807B" w:rsidR="00406503" w:rsidRPr="00F378E0" w:rsidRDefault="00DF5CEE" w:rsidP="00DF5CEE">
      <w:pPr>
        <w:pStyle w:val="Style13"/>
        <w:ind w:left="720"/>
        <w:jc w:val="both"/>
      </w:pPr>
      <w:r>
        <w:rPr>
          <w:rFonts w:hint="eastAsia"/>
        </w:rPr>
        <w:t xml:space="preserve">  </w:t>
      </w:r>
      <w:r w:rsidR="00F7713A">
        <w:rPr>
          <w:rFonts w:hint="eastAsia"/>
        </w:rPr>
        <w:t>2025</w:t>
      </w:r>
      <w:r w:rsidR="00F7713A">
        <w:rPr>
          <w:rFonts w:hint="eastAsia"/>
        </w:rPr>
        <w:t>年</w:t>
      </w:r>
      <w:r w:rsidR="00F7713A">
        <w:rPr>
          <w:rFonts w:hint="eastAsia"/>
        </w:rPr>
        <w:t>11</w:t>
      </w:r>
      <w:r w:rsidR="00F7713A">
        <w:rPr>
          <w:rFonts w:hint="eastAsia"/>
        </w:rPr>
        <w:t>月</w:t>
      </w:r>
      <w:r w:rsidR="00F7713A">
        <w:rPr>
          <w:rFonts w:hint="eastAsia"/>
        </w:rPr>
        <w:t>12</w:t>
      </w:r>
      <w:r w:rsidR="00F7713A">
        <w:rPr>
          <w:rFonts w:hint="eastAsia"/>
        </w:rPr>
        <w:t>日（周三）</w:t>
      </w:r>
      <w:r w:rsidR="00F7713A">
        <w:rPr>
          <w:rFonts w:hint="eastAsia"/>
        </w:rPr>
        <w:t>14:00-16:00</w:t>
      </w:r>
      <w:r w:rsidR="00F7713A" w:rsidRPr="001B3EDA">
        <w:rPr>
          <w:rFonts w:hint="eastAsia"/>
          <w:b/>
          <w:bCs/>
        </w:rPr>
        <w:t>培训</w:t>
      </w:r>
      <w:r w:rsidR="00F378E0">
        <w:rPr>
          <w:rFonts w:hint="eastAsia"/>
          <w:b/>
          <w:bCs/>
        </w:rPr>
        <w:t xml:space="preserve"> (</w:t>
      </w:r>
      <w:r w:rsidR="00F378E0">
        <w:rPr>
          <w:rFonts w:hint="eastAsia"/>
          <w:b/>
          <w:bCs/>
        </w:rPr>
        <w:t>根据报名情况，可能增加一次培训</w:t>
      </w:r>
      <w:r w:rsidR="00F378E0">
        <w:rPr>
          <w:rFonts w:hint="eastAsia"/>
          <w:b/>
          <w:bCs/>
        </w:rPr>
        <w:t>)</w:t>
      </w:r>
    </w:p>
    <w:p w14:paraId="6F66AC05" w14:textId="273D0512" w:rsidR="00406503" w:rsidRDefault="00DF5CEE" w:rsidP="00DF5CEE">
      <w:pPr>
        <w:pStyle w:val="Style13"/>
        <w:ind w:left="720"/>
        <w:jc w:val="both"/>
      </w:pPr>
      <w:r>
        <w:rPr>
          <w:rFonts w:hint="eastAsia"/>
        </w:rPr>
        <w:t xml:space="preserve">  </w:t>
      </w:r>
      <w:r w:rsidR="00F7713A">
        <w:t>202</w:t>
      </w:r>
      <w:r w:rsidR="00F7713A">
        <w:rPr>
          <w:rFonts w:hint="eastAsia"/>
        </w:rPr>
        <w:t>5</w:t>
      </w:r>
      <w:r w:rsidR="00F7713A">
        <w:t xml:space="preserve"> </w:t>
      </w:r>
      <w:r w:rsidR="00F7713A">
        <w:t>年</w:t>
      </w:r>
      <w:r w:rsidR="00F7713A">
        <w:t xml:space="preserve"> </w:t>
      </w:r>
      <w:r w:rsidR="00F7713A">
        <w:rPr>
          <w:rFonts w:hint="eastAsia"/>
        </w:rPr>
        <w:t>11</w:t>
      </w:r>
      <w:r w:rsidR="00F7713A">
        <w:t xml:space="preserve"> </w:t>
      </w:r>
      <w:r w:rsidR="00F7713A">
        <w:t>月</w:t>
      </w:r>
      <w:r w:rsidR="00F7713A">
        <w:t xml:space="preserve"> </w:t>
      </w:r>
      <w:r w:rsidR="00F7713A">
        <w:rPr>
          <w:rFonts w:hint="eastAsia"/>
        </w:rPr>
        <w:t>21</w:t>
      </w:r>
      <w:r w:rsidR="00F7713A">
        <w:t xml:space="preserve"> </w:t>
      </w:r>
      <w:r w:rsidR="00F7713A">
        <w:t>日（周</w:t>
      </w:r>
      <w:r w:rsidR="00F7713A">
        <w:rPr>
          <w:rFonts w:hint="eastAsia"/>
        </w:rPr>
        <w:t>五</w:t>
      </w:r>
      <w:r w:rsidR="00F7713A">
        <w:t>）</w:t>
      </w:r>
      <w:r w:rsidR="00F7713A">
        <w:rPr>
          <w:rFonts w:hint="eastAsia"/>
        </w:rPr>
        <w:t>14</w:t>
      </w:r>
      <w:r w:rsidR="00F7713A">
        <w:t>:00-1</w:t>
      </w:r>
      <w:r w:rsidR="00F7713A">
        <w:rPr>
          <w:rFonts w:hint="eastAsia"/>
        </w:rPr>
        <w:t>7</w:t>
      </w:r>
      <w:r w:rsidR="00F7713A">
        <w:t>:</w:t>
      </w:r>
      <w:r w:rsidR="00F7713A">
        <w:rPr>
          <w:rFonts w:hint="eastAsia"/>
        </w:rPr>
        <w:t>3</w:t>
      </w:r>
      <w:r w:rsidR="00F7713A">
        <w:t>0</w:t>
      </w:r>
      <w:r w:rsidR="00F7713A" w:rsidRPr="001B3EDA">
        <w:rPr>
          <w:rFonts w:hint="eastAsia"/>
          <w:b/>
          <w:bCs/>
        </w:rPr>
        <w:t>比赛</w:t>
      </w:r>
    </w:p>
    <w:p w14:paraId="6F66AC06" w14:textId="77777777" w:rsidR="00406503" w:rsidRDefault="00F7713A" w:rsidP="008628F2">
      <w:pPr>
        <w:pStyle w:val="Heading31"/>
        <w:jc w:val="both"/>
      </w:pPr>
      <w:r>
        <w:t>（五）活动地点</w:t>
      </w:r>
    </w:p>
    <w:p w14:paraId="6F66AC07" w14:textId="3E6BE924" w:rsidR="00406503" w:rsidRDefault="00E27524" w:rsidP="00E27524">
      <w:pPr>
        <w:pStyle w:val="Style13"/>
        <w:ind w:left="720"/>
        <w:jc w:val="both"/>
      </w:pPr>
      <w:r>
        <w:rPr>
          <w:rFonts w:hint="eastAsia"/>
        </w:rPr>
        <w:t xml:space="preserve"> </w:t>
      </w:r>
      <w:r w:rsidR="00F7713A">
        <w:t>宁波诺丁汉大学</w:t>
      </w:r>
      <w:r w:rsidR="00F7713A">
        <w:rPr>
          <w:rFonts w:hint="eastAsia"/>
        </w:rPr>
        <w:t>理工楼一楼</w:t>
      </w:r>
      <w:r w:rsidR="00F7713A">
        <w:t>（主赛场）、创客空间（赛前培训区）</w:t>
      </w:r>
    </w:p>
    <w:p w14:paraId="6F66AC08" w14:textId="4CDBEB1C" w:rsidR="00406503" w:rsidRDefault="00E27524" w:rsidP="00E27524">
      <w:pPr>
        <w:pStyle w:val="Style13"/>
        <w:ind w:left="720"/>
        <w:jc w:val="both"/>
      </w:pPr>
      <w:r>
        <w:rPr>
          <w:rFonts w:hint="eastAsia"/>
        </w:rPr>
        <w:t xml:space="preserve"> </w:t>
      </w:r>
      <w:r w:rsidR="00F7713A">
        <w:t>主赛场需满足长</w:t>
      </w:r>
      <w:r w:rsidR="00F7713A">
        <w:t xml:space="preserve"> 10m× </w:t>
      </w:r>
      <w:r w:rsidR="00F7713A">
        <w:t>宽</w:t>
      </w:r>
      <w:r w:rsidR="00F7713A">
        <w:t xml:space="preserve"> 8m× </w:t>
      </w:r>
      <w:r w:rsidR="00F7713A">
        <w:t>高</w:t>
      </w:r>
      <w:r w:rsidR="00F7713A">
        <w:t xml:space="preserve"> 5m </w:t>
      </w:r>
      <w:r w:rsidR="00F7713A">
        <w:t>的立体空间，设置全包围防护笼及障碍设施；</w:t>
      </w:r>
    </w:p>
    <w:p w14:paraId="6F66AC09" w14:textId="7C720D0F" w:rsidR="00406503" w:rsidRDefault="00E27524" w:rsidP="00E27524">
      <w:pPr>
        <w:pStyle w:val="Style13"/>
        <w:ind w:left="720"/>
        <w:jc w:val="both"/>
      </w:pPr>
      <w:r>
        <w:rPr>
          <w:rFonts w:hint="eastAsia"/>
        </w:rPr>
        <w:t xml:space="preserve"> </w:t>
      </w:r>
      <w:r w:rsidR="00F7713A">
        <w:t>配套操控区（每侧长</w:t>
      </w:r>
      <w:r w:rsidR="00F7713A">
        <w:t xml:space="preserve"> 7m× </w:t>
      </w:r>
      <w:r w:rsidR="00F7713A">
        <w:t>宽</w:t>
      </w:r>
      <w:r w:rsidR="00F7713A">
        <w:t xml:space="preserve"> 2m</w:t>
      </w:r>
      <w:r w:rsidR="00F7713A">
        <w:t>）、候赛区及观众席，确保场地符合安全竞技标准。</w:t>
      </w:r>
    </w:p>
    <w:p w14:paraId="6F66AC0A" w14:textId="77777777" w:rsidR="00406503" w:rsidRDefault="00F7713A" w:rsidP="008628F2">
      <w:pPr>
        <w:pStyle w:val="Heading31"/>
        <w:jc w:val="both"/>
      </w:pPr>
      <w:r>
        <w:t>（六）主办与支持单位</w:t>
      </w:r>
    </w:p>
    <w:p w14:paraId="6F66AC0B" w14:textId="788188CE" w:rsidR="00406503" w:rsidRDefault="00E27524" w:rsidP="00E27524">
      <w:pPr>
        <w:pStyle w:val="Style13"/>
        <w:ind w:left="720"/>
        <w:jc w:val="both"/>
      </w:pPr>
      <w:r>
        <w:rPr>
          <w:rFonts w:hint="eastAsia"/>
        </w:rPr>
        <w:t xml:space="preserve"> </w:t>
      </w:r>
      <w:r w:rsidR="00F7713A">
        <w:t>主办单位：</w:t>
      </w:r>
    </w:p>
    <w:p w14:paraId="6F66AC0C" w14:textId="1C6A2DA4" w:rsidR="00406503" w:rsidRDefault="00E27524" w:rsidP="00E27524">
      <w:pPr>
        <w:pStyle w:val="Style13"/>
        <w:ind w:left="720"/>
        <w:jc w:val="both"/>
      </w:pPr>
      <w:r>
        <w:rPr>
          <w:rFonts w:hint="eastAsia"/>
        </w:rPr>
        <w:t xml:space="preserve"> </w:t>
      </w:r>
      <w:r w:rsidR="00F7713A">
        <w:t>承办单位：</w:t>
      </w:r>
    </w:p>
    <w:p w14:paraId="6F66AC0D" w14:textId="3065A826" w:rsidR="00406503" w:rsidRDefault="00E27524" w:rsidP="00E27524">
      <w:pPr>
        <w:pStyle w:val="Style13"/>
        <w:ind w:left="720"/>
        <w:jc w:val="both"/>
      </w:pPr>
      <w:r>
        <w:rPr>
          <w:rFonts w:hint="eastAsia"/>
        </w:rPr>
        <w:t xml:space="preserve"> </w:t>
      </w:r>
      <w:r w:rsidR="00F7713A">
        <w:t>技术支持：</w:t>
      </w:r>
      <w:r w:rsidR="00F7713A">
        <w:rPr>
          <w:rFonts w:hint="eastAsia"/>
        </w:rPr>
        <w:t>浙江天基云泊科技有限公司</w:t>
      </w:r>
    </w:p>
    <w:p w14:paraId="6F66AC0F" w14:textId="77777777" w:rsidR="00406503" w:rsidRDefault="00F7713A" w:rsidP="008628F2">
      <w:pPr>
        <w:pStyle w:val="Heading21"/>
        <w:jc w:val="both"/>
      </w:pPr>
      <w:r>
        <w:lastRenderedPageBreak/>
        <w:t>二、活动核心内容设计</w:t>
      </w:r>
    </w:p>
    <w:p w14:paraId="6F66AC10" w14:textId="77777777" w:rsidR="00406503" w:rsidRDefault="00F7713A" w:rsidP="008628F2">
      <w:pPr>
        <w:pStyle w:val="Heading31"/>
        <w:jc w:val="both"/>
      </w:pPr>
      <w:r>
        <w:t>（一）赛制创新：</w:t>
      </w:r>
      <w:r>
        <w:t>“</w:t>
      </w:r>
      <w:r>
        <w:t>对抗</w:t>
      </w:r>
      <w:r>
        <w:t xml:space="preserve"> + </w:t>
      </w:r>
      <w:r>
        <w:t>障碍</w:t>
      </w:r>
      <w:r>
        <w:t xml:space="preserve">” </w:t>
      </w:r>
      <w:r>
        <w:t>双维度竞技</w:t>
      </w:r>
    </w:p>
    <w:p w14:paraId="6F66AC11" w14:textId="512E003C" w:rsidR="00406503" w:rsidRDefault="00F7713A" w:rsidP="00F80EE8">
      <w:pPr>
        <w:pStyle w:val="Style13"/>
        <w:ind w:left="720"/>
        <w:jc w:val="both"/>
      </w:pPr>
      <w:r>
        <w:rPr>
          <w:b/>
          <w:bCs/>
        </w:rPr>
        <w:t>队伍组成</w:t>
      </w:r>
      <w:r>
        <w:t>：每队</w:t>
      </w:r>
      <w:r>
        <w:t xml:space="preserve"> 3 </w:t>
      </w:r>
      <w:r>
        <w:t>名选手（</w:t>
      </w:r>
      <w:r>
        <w:t xml:space="preserve">1 </w:t>
      </w:r>
      <w:r>
        <w:t>名进攻操作手、</w:t>
      </w:r>
      <w:r>
        <w:t xml:space="preserve">2 </w:t>
      </w:r>
      <w:r>
        <w:t>名防守</w:t>
      </w:r>
      <w:r>
        <w:t xml:space="preserve"> / </w:t>
      </w:r>
      <w:r>
        <w:t>辅助操作手），可额外报名</w:t>
      </w:r>
      <w:r>
        <w:t xml:space="preserve"> 1 </w:t>
      </w:r>
      <w:r>
        <w:t>名教练，支持跨专业组队。</w:t>
      </w:r>
    </w:p>
    <w:p w14:paraId="6F66AC12" w14:textId="77777777" w:rsidR="00406503" w:rsidRDefault="00F7713A" w:rsidP="00F80EE8">
      <w:pPr>
        <w:pStyle w:val="Style13"/>
        <w:ind w:left="720"/>
        <w:jc w:val="both"/>
      </w:pPr>
      <w:r>
        <w:rPr>
          <w:b/>
          <w:bCs/>
        </w:rPr>
        <w:t>障碍设计</w:t>
      </w:r>
      <w:r>
        <w:t>：在飞行区设置</w:t>
      </w:r>
      <w:r>
        <w:t xml:space="preserve"> 3 </w:t>
      </w:r>
      <w:r>
        <w:t>类障碍关卡，均标注醒目标识：</w:t>
      </w:r>
    </w:p>
    <w:p w14:paraId="6F66AC13" w14:textId="77777777" w:rsidR="00406503" w:rsidRDefault="00F7713A" w:rsidP="0050711E">
      <w:pPr>
        <w:pStyle w:val="Style13"/>
        <w:numPr>
          <w:ilvl w:val="0"/>
          <w:numId w:val="17"/>
        </w:numPr>
        <w:jc w:val="both"/>
      </w:pPr>
      <w:r>
        <w:t>低空穿越环：直径</w:t>
      </w:r>
      <w:r>
        <w:t xml:space="preserve"> 50cm </w:t>
      </w:r>
      <w:r>
        <w:t>的环形障碍，离地</w:t>
      </w:r>
      <w:r>
        <w:t xml:space="preserve"> 1.5m</w:t>
      </w:r>
      <w:r>
        <w:t>；</w:t>
      </w:r>
    </w:p>
    <w:p w14:paraId="6F66AC14" w14:textId="77777777" w:rsidR="00406503" w:rsidRDefault="00F7713A" w:rsidP="0050711E">
      <w:pPr>
        <w:pStyle w:val="Style13"/>
        <w:numPr>
          <w:ilvl w:val="0"/>
          <w:numId w:val="17"/>
        </w:numPr>
        <w:jc w:val="both"/>
      </w:pPr>
      <w:r>
        <w:rPr>
          <w:rFonts w:hint="eastAsia"/>
        </w:rPr>
        <w:t>固定</w:t>
      </w:r>
      <w:r>
        <w:t>障碍杆：间隔</w:t>
      </w:r>
      <w:r>
        <w:t xml:space="preserve"> 1.2m </w:t>
      </w:r>
      <w:r>
        <w:t>的杆组；</w:t>
      </w:r>
    </w:p>
    <w:p w14:paraId="6F66AC15" w14:textId="77777777" w:rsidR="00406503" w:rsidRDefault="00F7713A" w:rsidP="0050711E">
      <w:pPr>
        <w:pStyle w:val="Style13"/>
        <w:numPr>
          <w:ilvl w:val="0"/>
          <w:numId w:val="17"/>
        </w:numPr>
        <w:jc w:val="both"/>
      </w:pPr>
      <w:r>
        <w:t>折返标识区：需无人机完成</w:t>
      </w:r>
      <w:r>
        <w:rPr>
          <w:rFonts w:hint="eastAsia"/>
        </w:rPr>
        <w:t>飞行后回到出发区域</w:t>
      </w:r>
      <w:r>
        <w:t>，共</w:t>
      </w:r>
      <w:r>
        <w:t xml:space="preserve"> 1 </w:t>
      </w:r>
      <w:r>
        <w:t>处。</w:t>
      </w:r>
    </w:p>
    <w:p w14:paraId="6F66AC16" w14:textId="77777777" w:rsidR="00406503" w:rsidRDefault="00F7713A" w:rsidP="008628F2">
      <w:pPr>
        <w:pStyle w:val="Heading31"/>
        <w:jc w:val="both"/>
      </w:pPr>
      <w:r>
        <w:t>（二）设备与规则规范</w:t>
      </w:r>
    </w:p>
    <w:p w14:paraId="6F66AC17" w14:textId="77777777" w:rsidR="00406503" w:rsidRDefault="00F7713A" w:rsidP="00F9462E">
      <w:pPr>
        <w:pStyle w:val="Style13"/>
        <w:ind w:left="720"/>
        <w:jc w:val="both"/>
      </w:pPr>
      <w:r>
        <w:rPr>
          <w:b/>
          <w:bCs/>
        </w:rPr>
        <w:t>无人机技术标准</w:t>
      </w:r>
      <w:r>
        <w:t>：采用</w:t>
      </w:r>
      <w:r>
        <w:t xml:space="preserve"> F9A-B </w:t>
      </w:r>
      <w:r>
        <w:t>型轻量化设备（适配校园竞技），具体参数如下：</w:t>
      </w:r>
    </w:p>
    <w:p w14:paraId="6F66AC18" w14:textId="77777777" w:rsidR="00406503" w:rsidRDefault="00F7713A" w:rsidP="0050711E">
      <w:pPr>
        <w:pStyle w:val="Style13"/>
        <w:numPr>
          <w:ilvl w:val="0"/>
          <w:numId w:val="18"/>
        </w:numPr>
        <w:jc w:val="both"/>
      </w:pPr>
      <w:r>
        <w:t>尺寸：球形保护架直径</w:t>
      </w:r>
      <w:r>
        <w:t xml:space="preserve"> 200±20mm</w:t>
      </w:r>
      <w:r>
        <w:t>，轴距</w:t>
      </w:r>
      <w:r>
        <w:t xml:space="preserve"> 215±10mm</w:t>
      </w:r>
      <w:r>
        <w:t>；</w:t>
      </w:r>
    </w:p>
    <w:p w14:paraId="3E7E9BFA" w14:textId="77777777" w:rsidR="00F9462E" w:rsidRDefault="00F7713A" w:rsidP="0050711E">
      <w:pPr>
        <w:pStyle w:val="Style13"/>
        <w:numPr>
          <w:ilvl w:val="0"/>
          <w:numId w:val="18"/>
        </w:numPr>
        <w:jc w:val="both"/>
      </w:pPr>
      <w:r>
        <w:t>重量：起飞重量</w:t>
      </w:r>
      <w:r>
        <w:t>≤300g</w:t>
      </w:r>
      <w:r>
        <w:t>（含保护罩与电池）；</w:t>
      </w:r>
    </w:p>
    <w:p w14:paraId="37AACAD2" w14:textId="77777777" w:rsidR="00F9462E" w:rsidRDefault="00F7713A" w:rsidP="0050711E">
      <w:pPr>
        <w:pStyle w:val="Style13"/>
        <w:numPr>
          <w:ilvl w:val="0"/>
          <w:numId w:val="18"/>
        </w:numPr>
        <w:jc w:val="both"/>
      </w:pPr>
      <w:r>
        <w:t>安全配置：全包围非金属保护架、故障安全停机装置、支持地面翻转功能；</w:t>
      </w:r>
    </w:p>
    <w:p w14:paraId="22EB5EDA" w14:textId="77777777" w:rsidR="00F9462E" w:rsidRDefault="00F7713A" w:rsidP="0050711E">
      <w:pPr>
        <w:pStyle w:val="Style13"/>
        <w:numPr>
          <w:ilvl w:val="0"/>
          <w:numId w:val="18"/>
        </w:numPr>
        <w:jc w:val="both"/>
      </w:pPr>
      <w:r>
        <w:t>动力系统：</w:t>
      </w:r>
      <w:r>
        <w:t xml:space="preserve">4 </w:t>
      </w:r>
      <w:r>
        <w:t>个电机，</w:t>
      </w:r>
      <w:r>
        <w:rPr>
          <w:rFonts w:hint="eastAsia"/>
        </w:rPr>
        <w:t>双</w:t>
      </w:r>
      <w:r>
        <w:t>叶非金属桨，</w:t>
      </w:r>
      <w:r>
        <w:t xml:space="preserve"> </w:t>
      </w:r>
      <w:r>
        <w:t>锂电池；</w:t>
      </w:r>
    </w:p>
    <w:p w14:paraId="6F66AC1C" w14:textId="5027D38B" w:rsidR="00406503" w:rsidRDefault="00F7713A" w:rsidP="0050711E">
      <w:pPr>
        <w:pStyle w:val="Style13"/>
        <w:numPr>
          <w:ilvl w:val="0"/>
          <w:numId w:val="18"/>
        </w:numPr>
        <w:jc w:val="both"/>
      </w:pPr>
      <w:r>
        <w:t>识别标识：红</w:t>
      </w:r>
      <w:r>
        <w:t xml:space="preserve"> / </w:t>
      </w:r>
      <w:r>
        <w:t>蓝双色保护架</w:t>
      </w:r>
      <w:r>
        <w:rPr>
          <w:rFonts w:hint="eastAsia"/>
        </w:rPr>
        <w:t>，</w:t>
      </w:r>
      <w:r>
        <w:t>机身配备</w:t>
      </w:r>
      <w:r>
        <w:t xml:space="preserve">  LED </w:t>
      </w:r>
      <w:r>
        <w:t>灯。</w:t>
      </w:r>
    </w:p>
    <w:p w14:paraId="6F66AC1D" w14:textId="3B24BF80" w:rsidR="00406503" w:rsidRPr="008B0907" w:rsidRDefault="008B0907" w:rsidP="008B0907">
      <w:pPr>
        <w:pStyle w:val="Style13"/>
        <w:jc w:val="both"/>
        <w:rPr>
          <w:b/>
          <w:bCs/>
        </w:rPr>
      </w:pPr>
      <w:r>
        <w:rPr>
          <w:rFonts w:hint="eastAsia"/>
          <w:b/>
          <w:bCs/>
        </w:rPr>
        <w:t xml:space="preserve">              </w:t>
      </w:r>
      <w:r w:rsidR="00F7713A" w:rsidRPr="008B0907">
        <w:rPr>
          <w:b/>
          <w:bCs/>
        </w:rPr>
        <w:t>核心竞赛规则：</w:t>
      </w:r>
    </w:p>
    <w:p w14:paraId="6F66AC1E" w14:textId="6D06DBA2" w:rsidR="00406503" w:rsidRDefault="008B0907" w:rsidP="008B0907">
      <w:pPr>
        <w:pStyle w:val="Style13"/>
        <w:ind w:left="720"/>
        <w:jc w:val="both"/>
      </w:pPr>
      <w:r>
        <w:rPr>
          <w:rFonts w:hint="eastAsia"/>
        </w:rPr>
        <w:t xml:space="preserve">  </w:t>
      </w:r>
      <w:r w:rsidR="00F7713A">
        <w:t>操控限制：选手需在指定操控区操作，全程不得触碰无人机或离开场地；</w:t>
      </w:r>
    </w:p>
    <w:p w14:paraId="6F66AC1F" w14:textId="77777777" w:rsidR="00406503" w:rsidRDefault="00F7713A" w:rsidP="008628F2">
      <w:pPr>
        <w:pStyle w:val="Style13"/>
        <w:jc w:val="both"/>
      </w:pPr>
      <w:r>
        <w:rPr>
          <w:b/>
          <w:bCs/>
        </w:rPr>
        <w:t>设备提供方式</w:t>
      </w:r>
      <w:r>
        <w:t>：主办方统一提供比赛用机，赛前进行设备审核，确保性能一致。</w:t>
      </w:r>
    </w:p>
    <w:p w14:paraId="6F66AC20" w14:textId="77777777" w:rsidR="00406503" w:rsidRDefault="00F7713A" w:rsidP="008628F2">
      <w:pPr>
        <w:pStyle w:val="Heading31"/>
        <w:jc w:val="both"/>
      </w:pPr>
      <w:r>
        <w:t>（三）新手友好保障体系</w:t>
      </w:r>
    </w:p>
    <w:p w14:paraId="6F66AC21" w14:textId="77777777" w:rsidR="00406503" w:rsidRDefault="00F7713A" w:rsidP="005E5A50">
      <w:pPr>
        <w:pStyle w:val="Style13"/>
        <w:ind w:left="720"/>
        <w:jc w:val="both"/>
      </w:pPr>
      <w:r>
        <w:rPr>
          <w:b/>
          <w:bCs/>
        </w:rPr>
        <w:t>赛前培训</w:t>
      </w:r>
      <w:r>
        <w:t>：活动前</w:t>
      </w:r>
      <w:r>
        <w:t xml:space="preserve"> 1 </w:t>
      </w:r>
      <w:r>
        <w:t>周（周</w:t>
      </w:r>
      <w:r>
        <w:rPr>
          <w:rFonts w:hint="eastAsia"/>
        </w:rPr>
        <w:t>三</w:t>
      </w:r>
      <w:r>
        <w:t>）开展</w:t>
      </w:r>
      <w:r>
        <w:rPr>
          <w:rFonts w:hint="eastAsia"/>
        </w:rPr>
        <w:t>1</w:t>
      </w:r>
      <w:r>
        <w:t xml:space="preserve"> </w:t>
      </w:r>
      <w:r>
        <w:t>场培训（</w:t>
      </w:r>
      <w:r>
        <w:t>14:00-16:00</w:t>
      </w:r>
      <w:r>
        <w:t>），内容包括：</w:t>
      </w:r>
    </w:p>
    <w:p w14:paraId="6F66AC22" w14:textId="77777777" w:rsidR="00406503" w:rsidRDefault="00F7713A" w:rsidP="0050711E">
      <w:pPr>
        <w:pStyle w:val="Style13"/>
        <w:numPr>
          <w:ilvl w:val="0"/>
          <w:numId w:val="19"/>
        </w:numPr>
        <w:jc w:val="both"/>
      </w:pPr>
      <w:r>
        <w:t>理论模块：无人机结构原理、竞赛规则解读、安全操作规范；</w:t>
      </w:r>
    </w:p>
    <w:p w14:paraId="63A2090B" w14:textId="77777777" w:rsidR="005E5A50" w:rsidRDefault="00F7713A" w:rsidP="0050711E">
      <w:pPr>
        <w:pStyle w:val="Style13"/>
        <w:numPr>
          <w:ilvl w:val="0"/>
          <w:numId w:val="19"/>
        </w:numPr>
        <w:jc w:val="both"/>
      </w:pPr>
      <w:r>
        <w:t>实操模块：基础飞行练习、障碍穿越技巧，配备</w:t>
      </w:r>
      <w:r>
        <w:t xml:space="preserve"> </w:t>
      </w:r>
      <w:r>
        <w:t>训练机供练习。</w:t>
      </w:r>
    </w:p>
    <w:p w14:paraId="6F66AC24" w14:textId="64CB3AF7" w:rsidR="00406503" w:rsidRDefault="00F7713A" w:rsidP="005E5A50">
      <w:pPr>
        <w:pStyle w:val="Style13"/>
        <w:ind w:left="720"/>
        <w:jc w:val="both"/>
      </w:pPr>
      <w:r>
        <w:rPr>
          <w:b/>
          <w:bCs/>
        </w:rPr>
        <w:t>技术支持</w:t>
      </w:r>
      <w:r>
        <w:t>：比赛现场设置技术服务台，安排</w:t>
      </w:r>
      <w:r>
        <w:t xml:space="preserve"> 4 </w:t>
      </w:r>
      <w:r>
        <w:t>名专业人员负责设备调试、故障维修，每场次赛前提供</w:t>
      </w:r>
      <w:r>
        <w:t xml:space="preserve"> 30 </w:t>
      </w:r>
      <w:r>
        <w:t>秒设备测试时间。</w:t>
      </w:r>
    </w:p>
    <w:p w14:paraId="5796B505" w14:textId="77777777" w:rsidR="00437908" w:rsidRDefault="00437908" w:rsidP="005E5A50">
      <w:pPr>
        <w:pStyle w:val="Style13"/>
        <w:ind w:left="720"/>
        <w:jc w:val="both"/>
      </w:pPr>
    </w:p>
    <w:p w14:paraId="06A23DA4" w14:textId="77777777" w:rsidR="00437908" w:rsidRDefault="00437908" w:rsidP="005E5A50">
      <w:pPr>
        <w:pStyle w:val="Style13"/>
        <w:ind w:left="720"/>
        <w:jc w:val="both"/>
      </w:pPr>
    </w:p>
    <w:p w14:paraId="7E01EC9A" w14:textId="77777777" w:rsidR="00437908" w:rsidRDefault="00437908" w:rsidP="005E5A50">
      <w:pPr>
        <w:pStyle w:val="Style13"/>
        <w:ind w:left="720"/>
        <w:jc w:val="both"/>
      </w:pPr>
    </w:p>
    <w:p w14:paraId="6F66AC25" w14:textId="77777777" w:rsidR="00406503" w:rsidRDefault="00F7713A" w:rsidP="008628F2">
      <w:pPr>
        <w:pStyle w:val="Heading21"/>
        <w:jc w:val="both"/>
      </w:pPr>
      <w:r>
        <w:lastRenderedPageBreak/>
        <w:t>三、活动流程安排</w:t>
      </w:r>
    </w:p>
    <w:p w14:paraId="6F66AC26" w14:textId="77777777" w:rsidR="00406503" w:rsidRDefault="00406503" w:rsidP="008628F2">
      <w:pPr>
        <w:pStyle w:val="Style13"/>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0"/>
        <w:gridCol w:w="2760"/>
        <w:gridCol w:w="2760"/>
      </w:tblGrid>
      <w:tr w:rsidR="00406503" w14:paraId="6F66AC2A" w14:textId="77777777">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6F66AC27" w14:textId="77777777" w:rsidR="00406503" w:rsidRDefault="00F7713A" w:rsidP="008628F2">
            <w:pPr>
              <w:pStyle w:val="Style13"/>
              <w:jc w:val="both"/>
            </w:pPr>
            <w:r>
              <w:t>时间节点</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6F66AC28" w14:textId="77777777" w:rsidR="00406503" w:rsidRDefault="00F7713A" w:rsidP="008628F2">
            <w:pPr>
              <w:pStyle w:val="Style13"/>
              <w:jc w:val="both"/>
            </w:pPr>
            <w:r>
              <w:t>环节内容</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6F66AC29" w14:textId="77777777" w:rsidR="00406503" w:rsidRDefault="00F7713A" w:rsidP="008628F2">
            <w:pPr>
              <w:pStyle w:val="Style13"/>
              <w:jc w:val="both"/>
            </w:pPr>
            <w:r>
              <w:t>具体安排</w:t>
            </w:r>
          </w:p>
        </w:tc>
      </w:tr>
      <w:tr w:rsidR="00406503" w14:paraId="6F66AC2E" w14:textId="77777777">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6F66AC2B" w14:textId="77777777" w:rsidR="00406503" w:rsidRDefault="00F7713A" w:rsidP="008628F2">
            <w:pPr>
              <w:pStyle w:val="Style13"/>
              <w:jc w:val="both"/>
            </w:pPr>
            <w:r>
              <w:rPr>
                <w:rFonts w:hint="eastAsia"/>
              </w:rPr>
              <w:t>10</w:t>
            </w:r>
            <w:r>
              <w:t>:00</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6F66AC2C" w14:textId="77777777" w:rsidR="00406503" w:rsidRDefault="00F7713A" w:rsidP="008628F2">
            <w:pPr>
              <w:pStyle w:val="Style13"/>
              <w:jc w:val="both"/>
            </w:pPr>
            <w:r>
              <w:t>场地与设备准备</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6F66AC2D" w14:textId="77777777" w:rsidR="00406503" w:rsidRDefault="00F7713A" w:rsidP="008628F2">
            <w:pPr>
              <w:pStyle w:val="Style13"/>
              <w:jc w:val="both"/>
            </w:pPr>
            <w:r>
              <w:t>搭建赛场防护笼、障碍设施，调试无人机与计时设备，布置观众席与签到处</w:t>
            </w:r>
          </w:p>
        </w:tc>
      </w:tr>
      <w:tr w:rsidR="00406503" w14:paraId="6F66AC32" w14:textId="77777777">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6F66AC2F" w14:textId="77777777" w:rsidR="00406503" w:rsidRDefault="00F7713A" w:rsidP="008628F2">
            <w:pPr>
              <w:pStyle w:val="Style13"/>
              <w:jc w:val="both"/>
            </w:pPr>
            <w:r>
              <w:t>13:30-</w:t>
            </w:r>
            <w:r>
              <w:rPr>
                <w:rFonts w:hint="eastAsia"/>
              </w:rPr>
              <w:t>14:00</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6F66AC30" w14:textId="77777777" w:rsidR="00406503" w:rsidRDefault="00F7713A" w:rsidP="008628F2">
            <w:pPr>
              <w:pStyle w:val="Style13"/>
              <w:jc w:val="both"/>
            </w:pPr>
            <w:r>
              <w:t>签到与开幕式</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6F66AC31" w14:textId="77777777" w:rsidR="00406503" w:rsidRDefault="00F7713A" w:rsidP="008628F2">
            <w:pPr>
              <w:pStyle w:val="Style13"/>
              <w:jc w:val="both"/>
            </w:pPr>
            <w:r>
              <w:t>选手签到领参赛证，观众入场；主持人介绍活动背景、嘉宾及规则，校方代表致辞</w:t>
            </w:r>
          </w:p>
        </w:tc>
      </w:tr>
      <w:tr w:rsidR="00406503" w14:paraId="6F66AC36" w14:textId="77777777">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6F66AC33" w14:textId="77777777" w:rsidR="00406503" w:rsidRDefault="00F7713A" w:rsidP="008628F2">
            <w:pPr>
              <w:pStyle w:val="Style13"/>
              <w:jc w:val="both"/>
            </w:pPr>
            <w:r>
              <w:t>14:</w:t>
            </w:r>
            <w:r>
              <w:rPr>
                <w:rFonts w:hint="eastAsia"/>
              </w:rPr>
              <w:t>0</w:t>
            </w:r>
            <w:r>
              <w:t>0-1</w:t>
            </w:r>
            <w:r>
              <w:rPr>
                <w:rFonts w:hint="eastAsia"/>
              </w:rPr>
              <w:t>7</w:t>
            </w:r>
            <w:r>
              <w:t>:</w:t>
            </w:r>
            <w:r>
              <w:rPr>
                <w:rFonts w:hint="eastAsia"/>
              </w:rPr>
              <w:t>3</w:t>
            </w:r>
            <w:r>
              <w:t>0</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6F66AC34" w14:textId="77777777" w:rsidR="00406503" w:rsidRDefault="00F7713A" w:rsidP="008628F2">
            <w:pPr>
              <w:pStyle w:val="Style13"/>
              <w:jc w:val="both"/>
            </w:pPr>
            <w:r>
              <w:rPr>
                <w:rFonts w:hint="eastAsia"/>
              </w:rPr>
              <w:t>比赛环节</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6F66AC35" w14:textId="77777777" w:rsidR="00406503" w:rsidRDefault="00F7713A" w:rsidP="008628F2">
            <w:pPr>
              <w:pStyle w:val="Style13"/>
              <w:jc w:val="both"/>
            </w:pPr>
            <w:r>
              <w:rPr>
                <w:rFonts w:hint="eastAsia"/>
              </w:rPr>
              <w:t>现场进行抽签决定比赛先后顺序，抽签结束后进行规则讲解。进行轮流比赛</w:t>
            </w:r>
          </w:p>
        </w:tc>
      </w:tr>
      <w:tr w:rsidR="00406503" w14:paraId="6F66AC3A" w14:textId="77777777">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6F66AC37" w14:textId="77777777" w:rsidR="00406503" w:rsidRDefault="00F7713A" w:rsidP="008628F2">
            <w:pPr>
              <w:pStyle w:val="Style13"/>
              <w:jc w:val="both"/>
            </w:pPr>
            <w:r>
              <w:t>1</w:t>
            </w:r>
            <w:r>
              <w:rPr>
                <w:rFonts w:hint="eastAsia"/>
              </w:rPr>
              <w:t>7</w:t>
            </w:r>
            <w:r>
              <w:t>:30</w:t>
            </w:r>
            <w:r>
              <w:rPr>
                <w:rFonts w:hint="eastAsia"/>
              </w:rPr>
              <w:t>后</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6F66AC38" w14:textId="77777777" w:rsidR="00406503" w:rsidRDefault="00F7713A" w:rsidP="008628F2">
            <w:pPr>
              <w:pStyle w:val="Style13"/>
              <w:jc w:val="both"/>
            </w:pPr>
            <w:r>
              <w:t>场地清场与设备回收</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6F66AC39" w14:textId="77777777" w:rsidR="00406503" w:rsidRDefault="00F7713A" w:rsidP="008628F2">
            <w:pPr>
              <w:pStyle w:val="Style13"/>
              <w:jc w:val="both"/>
            </w:pPr>
            <w:r>
              <w:t>工作人员拆除场地设施，回收无人机与器材，整理活动物资</w:t>
            </w:r>
          </w:p>
        </w:tc>
      </w:tr>
    </w:tbl>
    <w:p w14:paraId="6F66AC3B" w14:textId="77777777" w:rsidR="00406503" w:rsidRDefault="00F7713A" w:rsidP="008628F2">
      <w:pPr>
        <w:pStyle w:val="Heading21"/>
        <w:jc w:val="both"/>
      </w:pPr>
      <w:r>
        <w:t>四、宣传与报名策略</w:t>
      </w:r>
    </w:p>
    <w:p w14:paraId="6F66AC3C" w14:textId="77777777" w:rsidR="00406503" w:rsidRDefault="00F7713A" w:rsidP="008628F2">
      <w:pPr>
        <w:pStyle w:val="Heading31"/>
        <w:jc w:val="both"/>
      </w:pPr>
      <w:r>
        <w:t>（一）宣传渠道矩阵</w:t>
      </w:r>
    </w:p>
    <w:p w14:paraId="6F66AC3D" w14:textId="77777777" w:rsidR="00406503" w:rsidRDefault="00F7713A" w:rsidP="006579FC">
      <w:pPr>
        <w:pStyle w:val="Style13"/>
        <w:ind w:left="720"/>
        <w:jc w:val="both"/>
      </w:pPr>
      <w:r>
        <w:rPr>
          <w:b/>
          <w:bCs/>
        </w:rPr>
        <w:t>校园阵地宣传</w:t>
      </w:r>
      <w:r>
        <w:t>：</w:t>
      </w:r>
    </w:p>
    <w:p w14:paraId="6F66AC3E" w14:textId="77777777" w:rsidR="00406503" w:rsidRDefault="00F7713A" w:rsidP="0050711E">
      <w:pPr>
        <w:pStyle w:val="Style13"/>
        <w:numPr>
          <w:ilvl w:val="0"/>
          <w:numId w:val="20"/>
        </w:numPr>
        <w:jc w:val="both"/>
      </w:pPr>
      <w:r>
        <w:t>线下：在图书馆、食堂、教学楼设置</w:t>
      </w:r>
      <w:r>
        <w:t xml:space="preserve"> 3 </w:t>
      </w:r>
      <w:r>
        <w:t>个宣传点位，摆放海报（含赛事亮点与报名二维码），发放</w:t>
      </w:r>
      <w:r>
        <w:t xml:space="preserve"> 200 </w:t>
      </w:r>
      <w:r>
        <w:t>份彩色宣传单页；</w:t>
      </w:r>
    </w:p>
    <w:p w14:paraId="6F66AC3F" w14:textId="77777777" w:rsidR="00406503" w:rsidRDefault="00F7713A" w:rsidP="0050711E">
      <w:pPr>
        <w:pStyle w:val="Style13"/>
        <w:numPr>
          <w:ilvl w:val="0"/>
          <w:numId w:val="20"/>
        </w:numPr>
        <w:jc w:val="both"/>
      </w:pPr>
      <w:r>
        <w:t>线上：通过校园官网、</w:t>
      </w:r>
      <w:r>
        <w:t>“</w:t>
      </w:r>
      <w:r>
        <w:t>诺丁汉学联</w:t>
      </w:r>
      <w:r>
        <w:t xml:space="preserve">” </w:t>
      </w:r>
      <w:r>
        <w:t>公众号发布推文，制作</w:t>
      </w:r>
      <w:r>
        <w:t xml:space="preserve"> 30 </w:t>
      </w:r>
      <w:r>
        <w:t>秒短视频（含往届赛事精彩瞬间</w:t>
      </w:r>
      <w:r>
        <w:t xml:space="preserve"> + </w:t>
      </w:r>
      <w:r>
        <w:t>本次规则解读）在校园视频号传播。</w:t>
      </w:r>
    </w:p>
    <w:p w14:paraId="6F66AC40" w14:textId="77777777" w:rsidR="00406503" w:rsidRDefault="00F7713A" w:rsidP="006579FC">
      <w:pPr>
        <w:pStyle w:val="Style13"/>
        <w:ind w:left="720"/>
        <w:jc w:val="both"/>
      </w:pPr>
      <w:r>
        <w:rPr>
          <w:b/>
          <w:bCs/>
        </w:rPr>
        <w:t>精准触达宣传</w:t>
      </w:r>
      <w:r>
        <w:t>：</w:t>
      </w:r>
    </w:p>
    <w:p w14:paraId="40A59848" w14:textId="77777777" w:rsidR="006579FC" w:rsidRDefault="00F7713A" w:rsidP="0050711E">
      <w:pPr>
        <w:pStyle w:val="Style13"/>
        <w:numPr>
          <w:ilvl w:val="0"/>
          <w:numId w:val="21"/>
        </w:numPr>
        <w:jc w:val="both"/>
      </w:pPr>
      <w:r>
        <w:t>院系联动：向工学院、计算机系等重点院系发送活动通知，鼓励专业教师推荐学生参与；</w:t>
      </w:r>
    </w:p>
    <w:p w14:paraId="6F66AC42" w14:textId="5082AFF8" w:rsidR="00406503" w:rsidRDefault="00F7713A" w:rsidP="0050711E">
      <w:pPr>
        <w:pStyle w:val="Style13"/>
        <w:numPr>
          <w:ilvl w:val="0"/>
          <w:numId w:val="21"/>
        </w:numPr>
        <w:jc w:val="both"/>
      </w:pPr>
      <w:r>
        <w:t>社团动员：通过航模协会等社团社群发布报名信息。</w:t>
      </w:r>
    </w:p>
    <w:p w14:paraId="65D769D3" w14:textId="77777777" w:rsidR="00B220E1" w:rsidRDefault="00B220E1" w:rsidP="008628F2">
      <w:pPr>
        <w:pStyle w:val="Style13"/>
        <w:numPr>
          <w:ilvl w:val="1"/>
          <w:numId w:val="0"/>
        </w:numPr>
        <w:jc w:val="both"/>
      </w:pPr>
    </w:p>
    <w:p w14:paraId="6F66AC43" w14:textId="77777777" w:rsidR="00406503" w:rsidRDefault="00F7713A" w:rsidP="008628F2">
      <w:pPr>
        <w:pStyle w:val="Heading31"/>
        <w:jc w:val="both"/>
      </w:pPr>
      <w:r>
        <w:lastRenderedPageBreak/>
        <w:t>（二）报名方式与筛选</w:t>
      </w:r>
    </w:p>
    <w:p w14:paraId="6F66AC44" w14:textId="77777777" w:rsidR="00406503" w:rsidRDefault="00F7713A" w:rsidP="0050711E">
      <w:pPr>
        <w:pStyle w:val="Style13"/>
        <w:ind w:left="720"/>
        <w:jc w:val="both"/>
      </w:pPr>
      <w:r>
        <w:rPr>
          <w:b/>
          <w:bCs/>
        </w:rPr>
        <w:t>报名时间</w:t>
      </w:r>
      <w:r>
        <w:t>：宣传启动后</w:t>
      </w:r>
      <w:r>
        <w:t xml:space="preserve"> 7 </w:t>
      </w:r>
      <w:r>
        <w:t>天内，额满即止。</w:t>
      </w:r>
    </w:p>
    <w:p w14:paraId="6F66AC45" w14:textId="77777777" w:rsidR="00406503" w:rsidRDefault="00F7713A" w:rsidP="0050711E">
      <w:pPr>
        <w:pStyle w:val="Style13"/>
        <w:ind w:left="720"/>
        <w:jc w:val="both"/>
      </w:pPr>
      <w:r>
        <w:rPr>
          <w:b/>
          <w:bCs/>
        </w:rPr>
        <w:t>报名渠道</w:t>
      </w:r>
      <w:r>
        <w:t>：通过校园活动平台填写报名表，需注明姓名、院系、联系方式及无人机操作基础。</w:t>
      </w:r>
    </w:p>
    <w:p w14:paraId="6F66AC46" w14:textId="77777777" w:rsidR="00406503" w:rsidRDefault="00F7713A" w:rsidP="0050711E">
      <w:pPr>
        <w:pStyle w:val="Style13"/>
        <w:ind w:left="720"/>
        <w:jc w:val="both"/>
      </w:pPr>
      <w:r>
        <w:rPr>
          <w:b/>
          <w:bCs/>
        </w:rPr>
        <w:t>筛选机制</w:t>
      </w:r>
      <w:r>
        <w:t>：报名人数超</w:t>
      </w:r>
      <w:r>
        <w:t xml:space="preserve"> 60 </w:t>
      </w:r>
      <w:r>
        <w:t>人时，优先保留跨专业、国际生组合，其余通过抽签确定，结果在报名群公示。</w:t>
      </w:r>
    </w:p>
    <w:p w14:paraId="6F66AC47" w14:textId="77777777" w:rsidR="00406503" w:rsidRDefault="00F7713A" w:rsidP="008628F2">
      <w:pPr>
        <w:pStyle w:val="Heading21"/>
        <w:jc w:val="both"/>
      </w:pPr>
      <w:r>
        <w:t>五、安全与保障措施</w:t>
      </w:r>
    </w:p>
    <w:p w14:paraId="6F66AC48" w14:textId="77777777" w:rsidR="00406503" w:rsidRDefault="00F7713A" w:rsidP="008628F2">
      <w:pPr>
        <w:pStyle w:val="Heading31"/>
        <w:jc w:val="both"/>
      </w:pPr>
      <w:r>
        <w:t>（一）场地安全</w:t>
      </w:r>
    </w:p>
    <w:p w14:paraId="6F66AC49" w14:textId="77777777" w:rsidR="00406503" w:rsidRDefault="00F7713A" w:rsidP="0050711E">
      <w:pPr>
        <w:pStyle w:val="Style13"/>
        <w:numPr>
          <w:ilvl w:val="0"/>
          <w:numId w:val="23"/>
        </w:numPr>
        <w:jc w:val="both"/>
      </w:pPr>
      <w:r>
        <w:t>飞行区采用</w:t>
      </w:r>
      <w:r>
        <w:t xml:space="preserve"> </w:t>
      </w:r>
      <w:r>
        <w:rPr>
          <w:rFonts w:hint="eastAsia"/>
        </w:rPr>
        <w:t>4</w:t>
      </w:r>
      <w:r>
        <w:t xml:space="preserve">m </w:t>
      </w:r>
      <w:r>
        <w:t>高防撞击防护笼，四周设置</w:t>
      </w:r>
      <w:r>
        <w:t xml:space="preserve"> 1.5m </w:t>
      </w:r>
      <w:r>
        <w:t>宽安全隔离带；</w:t>
      </w:r>
    </w:p>
    <w:p w14:paraId="6F66AC4A" w14:textId="77777777" w:rsidR="00406503" w:rsidRDefault="00F7713A" w:rsidP="0050711E">
      <w:pPr>
        <w:pStyle w:val="Style13"/>
        <w:numPr>
          <w:ilvl w:val="0"/>
          <w:numId w:val="23"/>
        </w:numPr>
        <w:jc w:val="both"/>
      </w:pPr>
      <w:r>
        <w:t>观众席与赛场间隔</w:t>
      </w:r>
      <w:r>
        <w:t xml:space="preserve"> 3m</w:t>
      </w:r>
      <w:r>
        <w:t>，禁止观众进入操控区。</w:t>
      </w:r>
    </w:p>
    <w:p w14:paraId="6F66AC4B" w14:textId="77777777" w:rsidR="00406503" w:rsidRDefault="00F7713A" w:rsidP="008628F2">
      <w:pPr>
        <w:pStyle w:val="Heading31"/>
        <w:jc w:val="both"/>
      </w:pPr>
      <w:r>
        <w:t>（二）设备安全</w:t>
      </w:r>
    </w:p>
    <w:p w14:paraId="6F66AC4C" w14:textId="77777777" w:rsidR="00406503" w:rsidRDefault="00F7713A" w:rsidP="0050711E">
      <w:pPr>
        <w:pStyle w:val="Style13"/>
        <w:numPr>
          <w:ilvl w:val="0"/>
          <w:numId w:val="22"/>
        </w:numPr>
        <w:jc w:val="both"/>
      </w:pPr>
      <w:r>
        <w:t>所有无人机赛前进行动力系统、安全装置检测，粘贴合格标识方可使用；</w:t>
      </w:r>
    </w:p>
    <w:p w14:paraId="6F66AC4D" w14:textId="77777777" w:rsidR="00406503" w:rsidRDefault="00F7713A" w:rsidP="0050711E">
      <w:pPr>
        <w:pStyle w:val="Style13"/>
        <w:numPr>
          <w:ilvl w:val="0"/>
          <w:numId w:val="22"/>
        </w:numPr>
        <w:jc w:val="both"/>
      </w:pPr>
      <w:r>
        <w:t>配备</w:t>
      </w:r>
      <w:r>
        <w:t xml:space="preserve"> 2 </w:t>
      </w:r>
      <w:r>
        <w:t>套应急停机装置，由专人负责，遇突发情况立即启动；</w:t>
      </w:r>
    </w:p>
    <w:p w14:paraId="6F66AC4E" w14:textId="77777777" w:rsidR="00406503" w:rsidRDefault="00F7713A" w:rsidP="0050711E">
      <w:pPr>
        <w:pStyle w:val="Style13"/>
        <w:numPr>
          <w:ilvl w:val="0"/>
          <w:numId w:val="22"/>
        </w:numPr>
        <w:jc w:val="both"/>
      </w:pPr>
      <w:r>
        <w:t>电池统一管理，充电区远离火源，配备灭火器与防火毯。</w:t>
      </w:r>
    </w:p>
    <w:p w14:paraId="6F66AC4F" w14:textId="77777777" w:rsidR="00406503" w:rsidRDefault="00F7713A" w:rsidP="008628F2">
      <w:pPr>
        <w:pStyle w:val="Heading31"/>
        <w:jc w:val="both"/>
      </w:pPr>
      <w:r>
        <w:t>（三）人员安全</w:t>
      </w:r>
    </w:p>
    <w:p w14:paraId="6F66AC50" w14:textId="77777777" w:rsidR="00406503" w:rsidRDefault="00F7713A" w:rsidP="0050711E">
      <w:pPr>
        <w:pStyle w:val="Style13"/>
        <w:numPr>
          <w:ilvl w:val="0"/>
          <w:numId w:val="24"/>
        </w:numPr>
        <w:jc w:val="both"/>
      </w:pPr>
      <w:r>
        <w:t>工作人员岗前进行安全培训，明确紧急疏散路线与职责分工。</w:t>
      </w:r>
    </w:p>
    <w:p w14:paraId="6F66AC51" w14:textId="77777777" w:rsidR="00406503" w:rsidRDefault="00F7713A" w:rsidP="008628F2">
      <w:pPr>
        <w:pStyle w:val="Heading31"/>
        <w:jc w:val="both"/>
      </w:pPr>
      <w:r>
        <w:t>（四）应急预案</w:t>
      </w:r>
    </w:p>
    <w:p w14:paraId="6F66AC52" w14:textId="77777777" w:rsidR="00406503" w:rsidRDefault="00F7713A" w:rsidP="0050711E">
      <w:pPr>
        <w:pStyle w:val="Style13"/>
        <w:numPr>
          <w:ilvl w:val="0"/>
          <w:numId w:val="24"/>
        </w:numPr>
        <w:jc w:val="both"/>
      </w:pPr>
      <w:r>
        <w:t>设备故障：单台无人机故障可更换备用机，更换时间不超过</w:t>
      </w:r>
      <w:r>
        <w:t xml:space="preserve"> 2 </w:t>
      </w:r>
      <w:r>
        <w:t>分钟；</w:t>
      </w:r>
    </w:p>
    <w:p w14:paraId="6F66AC53" w14:textId="77777777" w:rsidR="00406503" w:rsidRDefault="00F7713A" w:rsidP="0050711E">
      <w:pPr>
        <w:pStyle w:val="Style13"/>
        <w:numPr>
          <w:ilvl w:val="0"/>
          <w:numId w:val="24"/>
        </w:numPr>
        <w:jc w:val="both"/>
      </w:pPr>
      <w:r>
        <w:t>人员受伤：立即暂停比赛，由校医进行初步处理，严重时拨打</w:t>
      </w:r>
      <w:r>
        <w:t xml:space="preserve"> 120 </w:t>
      </w:r>
      <w:r>
        <w:t>并联系家属；</w:t>
      </w:r>
    </w:p>
    <w:p w14:paraId="6F66AC54" w14:textId="77777777" w:rsidR="00406503" w:rsidRDefault="00F7713A" w:rsidP="0050711E">
      <w:pPr>
        <w:pStyle w:val="Style13"/>
        <w:numPr>
          <w:ilvl w:val="0"/>
          <w:numId w:val="24"/>
        </w:numPr>
        <w:jc w:val="both"/>
      </w:pPr>
      <w:r>
        <w:t>信号干扰：暂停比赛，排查干扰源（关闭非授权</w:t>
      </w:r>
      <w:r>
        <w:t xml:space="preserve"> 2.4G </w:t>
      </w:r>
      <w:r>
        <w:t>设备），确认安全后重启。</w:t>
      </w:r>
    </w:p>
    <w:p w14:paraId="6F66AC55" w14:textId="77777777" w:rsidR="00406503" w:rsidRDefault="00F7713A" w:rsidP="008628F2">
      <w:pPr>
        <w:pStyle w:val="Heading2"/>
        <w:jc w:val="both"/>
      </w:pPr>
      <w:r>
        <w:t>六、奖项与激励设置</w:t>
      </w:r>
    </w:p>
    <w:p w14:paraId="6F66AC56" w14:textId="77777777" w:rsidR="00406503" w:rsidRDefault="00F7713A" w:rsidP="0050711E">
      <w:pPr>
        <w:pStyle w:val="Style13"/>
        <w:numPr>
          <w:ilvl w:val="0"/>
          <w:numId w:val="25"/>
        </w:numPr>
        <w:jc w:val="both"/>
      </w:pPr>
      <w:r>
        <w:t>冠军（</w:t>
      </w:r>
      <w:r>
        <w:t xml:space="preserve">1 </w:t>
      </w:r>
      <w:r>
        <w:rPr>
          <w:rFonts w:hint="eastAsia"/>
        </w:rPr>
        <w:t>人</w:t>
      </w:r>
      <w:r>
        <w:t>）：无人机套装（专业遥控器）</w:t>
      </w:r>
    </w:p>
    <w:p w14:paraId="6F66AC57" w14:textId="77777777" w:rsidR="00406503" w:rsidRDefault="00F7713A" w:rsidP="0050711E">
      <w:pPr>
        <w:pStyle w:val="Style13"/>
        <w:numPr>
          <w:ilvl w:val="0"/>
          <w:numId w:val="25"/>
        </w:numPr>
        <w:jc w:val="both"/>
      </w:pPr>
      <w:r>
        <w:t>亚军（</w:t>
      </w:r>
      <w:r>
        <w:rPr>
          <w:rFonts w:hint="eastAsia"/>
        </w:rPr>
        <w:t>3</w:t>
      </w:r>
      <w:r>
        <w:t xml:space="preserve"> </w:t>
      </w:r>
      <w:r>
        <w:rPr>
          <w:rFonts w:hint="eastAsia"/>
        </w:rPr>
        <w:t>人</w:t>
      </w:r>
      <w:r>
        <w:t>）：</w:t>
      </w:r>
    </w:p>
    <w:p w14:paraId="6F66AC58" w14:textId="77777777" w:rsidR="00406503" w:rsidRDefault="00F7713A" w:rsidP="0050711E">
      <w:pPr>
        <w:pStyle w:val="Style13"/>
        <w:numPr>
          <w:ilvl w:val="0"/>
          <w:numId w:val="25"/>
        </w:numPr>
        <w:jc w:val="both"/>
      </w:pPr>
      <w:r>
        <w:t>季军（</w:t>
      </w:r>
      <w:r>
        <w:rPr>
          <w:rFonts w:hint="eastAsia"/>
        </w:rPr>
        <w:t>4</w:t>
      </w:r>
      <w:r>
        <w:t xml:space="preserve"> </w:t>
      </w:r>
      <w:r>
        <w:rPr>
          <w:rFonts w:hint="eastAsia"/>
        </w:rPr>
        <w:t>人</w:t>
      </w:r>
      <w:r>
        <w:t>）：</w:t>
      </w:r>
    </w:p>
    <w:p w14:paraId="44621F2D" w14:textId="77777777" w:rsidR="00D24023" w:rsidRDefault="00D24023" w:rsidP="008628F2">
      <w:pPr>
        <w:pStyle w:val="Style13"/>
        <w:jc w:val="both"/>
      </w:pPr>
    </w:p>
    <w:p w14:paraId="2347DF8B" w14:textId="77777777" w:rsidR="009271DA" w:rsidRDefault="009271DA" w:rsidP="007A72C5">
      <w:pPr>
        <w:jc w:val="center"/>
        <w:rPr>
          <w:b/>
          <w:bCs/>
          <w:sz w:val="28"/>
          <w:szCs w:val="28"/>
        </w:rPr>
      </w:pPr>
      <w:r w:rsidRPr="000E3A29">
        <w:rPr>
          <w:b/>
          <w:bCs/>
          <w:sz w:val="28"/>
          <w:szCs w:val="28"/>
        </w:rPr>
        <w:lastRenderedPageBreak/>
        <w:t>University of Nottingham Ningbo China "Tech Green Field · Cloud Competition" Drone Football Obstacle Race Activity Plan</w:t>
      </w:r>
    </w:p>
    <w:p w14:paraId="5BB9AA8B" w14:textId="77777777" w:rsidR="007A72C5" w:rsidRPr="000E3A29" w:rsidRDefault="007A72C5" w:rsidP="007A72C5">
      <w:pPr>
        <w:jc w:val="center"/>
        <w:rPr>
          <w:sz w:val="28"/>
          <w:szCs w:val="28"/>
        </w:rPr>
      </w:pPr>
    </w:p>
    <w:p w14:paraId="1757AC65" w14:textId="77777777" w:rsidR="009271DA" w:rsidRPr="000E3A29" w:rsidRDefault="009271DA" w:rsidP="008628F2">
      <w:pPr>
        <w:adjustRightInd w:val="0"/>
        <w:snapToGrid w:val="0"/>
        <w:spacing w:beforeLines="50" w:before="120" w:afterLines="50" w:after="120"/>
        <w:rPr>
          <w:sz w:val="24"/>
          <w:szCs w:val="24"/>
        </w:rPr>
      </w:pPr>
      <w:r w:rsidRPr="000E3A29">
        <w:rPr>
          <w:b/>
          <w:bCs/>
          <w:sz w:val="24"/>
          <w:szCs w:val="24"/>
        </w:rPr>
        <w:t>I. Basic Information of the Activity</w:t>
      </w:r>
    </w:p>
    <w:p w14:paraId="197D4A74" w14:textId="77777777" w:rsidR="009271DA" w:rsidRPr="000E3A29" w:rsidRDefault="009271DA" w:rsidP="008628F2">
      <w:pPr>
        <w:adjustRightInd w:val="0"/>
        <w:snapToGrid w:val="0"/>
        <w:spacing w:beforeLines="50" w:before="120" w:afterLines="50" w:after="120"/>
        <w:rPr>
          <w:sz w:val="24"/>
          <w:szCs w:val="24"/>
        </w:rPr>
      </w:pPr>
      <w:r w:rsidRPr="000E3A29">
        <w:rPr>
          <w:b/>
          <w:bCs/>
          <w:sz w:val="24"/>
          <w:szCs w:val="24"/>
        </w:rPr>
        <w:t>(1) Theme of the Activity</w:t>
      </w:r>
    </w:p>
    <w:p w14:paraId="769DFA9C" w14:textId="77777777" w:rsidR="009271DA" w:rsidRPr="000E3A29" w:rsidRDefault="009271DA" w:rsidP="00980E8B">
      <w:pPr>
        <w:pStyle w:val="ListParagraph"/>
        <w:widowControl w:val="0"/>
      </w:pPr>
      <w:r w:rsidRPr="000E3A29">
        <w:t>University of Nottingham Ningbo China Drone Football Obstacle Race</w:t>
      </w:r>
    </w:p>
    <w:p w14:paraId="25A434E6" w14:textId="77777777" w:rsidR="009271DA" w:rsidRPr="000E3A29" w:rsidRDefault="009271DA" w:rsidP="008628F2">
      <w:pPr>
        <w:adjustRightInd w:val="0"/>
        <w:snapToGrid w:val="0"/>
        <w:spacing w:beforeLines="50" w:before="120" w:afterLines="50" w:after="120"/>
        <w:rPr>
          <w:b/>
          <w:bCs/>
          <w:sz w:val="24"/>
          <w:szCs w:val="24"/>
        </w:rPr>
      </w:pPr>
      <w:r w:rsidRPr="000E3A29">
        <w:rPr>
          <w:b/>
          <w:bCs/>
          <w:sz w:val="24"/>
          <w:szCs w:val="24"/>
        </w:rPr>
        <w:t>(2) Purpose of the Activity</w:t>
      </w:r>
    </w:p>
    <w:p w14:paraId="278E29B5" w14:textId="77777777" w:rsidR="009271DA" w:rsidRDefault="009271DA" w:rsidP="00980E8B">
      <w:pPr>
        <w:widowControl w:val="0"/>
        <w:ind w:left="720"/>
      </w:pPr>
      <w:r w:rsidRPr="000E3A29">
        <w:t>In response to the trend of including drone football in the National Games, this activity integrates technology and competition with teamwork, providing students at the University of Nottingham Ningbo China with an immersive technological experience platform.</w:t>
      </w:r>
    </w:p>
    <w:p w14:paraId="4E6C558D" w14:textId="77777777" w:rsidR="00980E8B" w:rsidRPr="000E3A29" w:rsidRDefault="00980E8B" w:rsidP="00980E8B">
      <w:pPr>
        <w:widowControl w:val="0"/>
        <w:ind w:left="720"/>
      </w:pPr>
    </w:p>
    <w:p w14:paraId="13E2C98B" w14:textId="77777777" w:rsidR="009271DA" w:rsidRPr="000E3A29" w:rsidRDefault="009271DA" w:rsidP="00980E8B">
      <w:pPr>
        <w:pStyle w:val="ListParagraph"/>
      </w:pPr>
      <w:r w:rsidRPr="000E3A29">
        <w:t>Through the innovative " Antagonism + Obstacles "competition format, it aims to stimulate students' interest in intelligent control and aviation technology, cultivate precise control abilities and tactical thinking, and showcase the scientific and innovative vitality of the international campus.</w:t>
      </w:r>
    </w:p>
    <w:p w14:paraId="7E5A833A" w14:textId="77777777" w:rsidR="009271DA" w:rsidRPr="000E3A29" w:rsidRDefault="009271DA" w:rsidP="008628F2">
      <w:pPr>
        <w:adjustRightInd w:val="0"/>
        <w:snapToGrid w:val="0"/>
        <w:spacing w:beforeLines="50" w:before="120" w:afterLines="50" w:after="120"/>
        <w:rPr>
          <w:b/>
          <w:bCs/>
          <w:sz w:val="24"/>
          <w:szCs w:val="24"/>
        </w:rPr>
      </w:pPr>
      <w:r w:rsidRPr="000E3A29">
        <w:rPr>
          <w:b/>
          <w:bCs/>
          <w:sz w:val="24"/>
          <w:szCs w:val="24"/>
        </w:rPr>
        <w:t>(3) Participation Scale</w:t>
      </w:r>
    </w:p>
    <w:p w14:paraId="71694EF0" w14:textId="77777777" w:rsidR="009271DA" w:rsidRPr="000E3A29" w:rsidRDefault="009271DA" w:rsidP="00C31909">
      <w:pPr>
        <w:pStyle w:val="ListParagraph"/>
        <w:widowControl w:val="0"/>
      </w:pPr>
      <w:r w:rsidRPr="000E3A29">
        <w:t>60-80 participants, including competitors, staff, and spectators. Among them, 45-60 competitors (forming 15-20 teams) and 4-8 staff members (including referees, technical support, and order maintenance personnel).</w:t>
      </w:r>
    </w:p>
    <w:p w14:paraId="70064B97" w14:textId="77777777" w:rsidR="009271DA" w:rsidRPr="000E3A29" w:rsidRDefault="009271DA" w:rsidP="008628F2">
      <w:pPr>
        <w:adjustRightInd w:val="0"/>
        <w:snapToGrid w:val="0"/>
        <w:spacing w:beforeLines="50" w:before="120" w:afterLines="50" w:after="120"/>
        <w:rPr>
          <w:b/>
          <w:bCs/>
          <w:sz w:val="24"/>
          <w:szCs w:val="24"/>
        </w:rPr>
      </w:pPr>
      <w:r w:rsidRPr="000E3A29">
        <w:rPr>
          <w:b/>
          <w:bCs/>
          <w:sz w:val="24"/>
          <w:szCs w:val="24"/>
        </w:rPr>
        <w:t>(4) Activity Time</w:t>
      </w:r>
    </w:p>
    <w:p w14:paraId="3C8ECA2E" w14:textId="1C0D21B3" w:rsidR="009271DA" w:rsidRPr="000E3A29" w:rsidRDefault="009271DA" w:rsidP="001F3200">
      <w:pPr>
        <w:widowControl w:val="0"/>
        <w:ind w:left="720"/>
      </w:pPr>
      <w:r w:rsidRPr="001B3EDA">
        <w:rPr>
          <w:b/>
          <w:bCs/>
        </w:rPr>
        <w:t>Training</w:t>
      </w:r>
      <w:r w:rsidRPr="000E3A29">
        <w:t>: 12</w:t>
      </w:r>
      <w:r w:rsidR="00CD3385" w:rsidRPr="00CD3385">
        <w:rPr>
          <w:rFonts w:hint="eastAsia"/>
          <w:vertAlign w:val="superscript"/>
        </w:rPr>
        <w:t>th</w:t>
      </w:r>
      <w:r w:rsidR="00CD3385">
        <w:rPr>
          <w:rFonts w:hint="eastAsia"/>
        </w:rPr>
        <w:t xml:space="preserve"> </w:t>
      </w:r>
      <w:r w:rsidR="00CD3385">
        <w:t>Nov.</w:t>
      </w:r>
      <w:r w:rsidRPr="000E3A29">
        <w:t xml:space="preserve"> 2025 (Wednesday), 14:00-16:00</w:t>
      </w:r>
      <w:r w:rsidR="00F378E0">
        <w:rPr>
          <w:rFonts w:hint="eastAsia"/>
        </w:rPr>
        <w:t xml:space="preserve"> </w:t>
      </w:r>
      <w:r w:rsidR="00F378E0">
        <w:t>(extra training session might be provided, tbc)</w:t>
      </w:r>
    </w:p>
    <w:p w14:paraId="4CEF16F5" w14:textId="38ECA218" w:rsidR="009271DA" w:rsidRPr="000E3A29" w:rsidRDefault="009271DA" w:rsidP="001F3200">
      <w:pPr>
        <w:widowControl w:val="0"/>
        <w:ind w:left="720"/>
      </w:pPr>
      <w:r w:rsidRPr="001B3EDA">
        <w:rPr>
          <w:b/>
          <w:bCs/>
        </w:rPr>
        <w:t>Competition</w:t>
      </w:r>
      <w:r w:rsidRPr="000E3A29">
        <w:t>: 21</w:t>
      </w:r>
      <w:r w:rsidR="00CD3385" w:rsidRPr="00CD3385">
        <w:rPr>
          <w:rFonts w:hint="eastAsia"/>
          <w:vertAlign w:val="superscript"/>
        </w:rPr>
        <w:t>st</w:t>
      </w:r>
      <w:r w:rsidR="00CD3385">
        <w:rPr>
          <w:rFonts w:hint="eastAsia"/>
        </w:rPr>
        <w:t xml:space="preserve"> Nov</w:t>
      </w:r>
      <w:r w:rsidR="001B3EDA">
        <w:rPr>
          <w:rFonts w:hint="eastAsia"/>
        </w:rPr>
        <w:t>.</w:t>
      </w:r>
      <w:r w:rsidRPr="000E3A29">
        <w:t xml:space="preserve"> 2025 (Friday), 14:00-17:30</w:t>
      </w:r>
    </w:p>
    <w:p w14:paraId="0B50A374" w14:textId="77777777" w:rsidR="009271DA" w:rsidRPr="000E3A29" w:rsidRDefault="009271DA" w:rsidP="008628F2">
      <w:pPr>
        <w:adjustRightInd w:val="0"/>
        <w:snapToGrid w:val="0"/>
        <w:spacing w:beforeLines="50" w:before="120" w:afterLines="50" w:after="120"/>
        <w:rPr>
          <w:b/>
          <w:bCs/>
          <w:sz w:val="24"/>
          <w:szCs w:val="24"/>
        </w:rPr>
      </w:pPr>
      <w:r w:rsidRPr="000E3A29">
        <w:rPr>
          <w:b/>
          <w:bCs/>
          <w:sz w:val="24"/>
          <w:szCs w:val="24"/>
        </w:rPr>
        <w:t>(5) Venue</w:t>
      </w:r>
    </w:p>
    <w:p w14:paraId="2F9B4294" w14:textId="6576B1CA" w:rsidR="009271DA" w:rsidRPr="000E3A29" w:rsidRDefault="009271DA" w:rsidP="00DA19D5">
      <w:pPr>
        <w:pStyle w:val="ListParagraph"/>
        <w:widowControl w:val="0"/>
        <w:numPr>
          <w:ilvl w:val="0"/>
          <w:numId w:val="30"/>
        </w:numPr>
      </w:pPr>
      <w:r w:rsidRPr="00DA19D5">
        <w:rPr>
          <w:b/>
          <w:bCs/>
        </w:rPr>
        <w:t>Main Venue</w:t>
      </w:r>
      <w:r w:rsidRPr="000E3A29">
        <w:t xml:space="preserve">: </w:t>
      </w:r>
      <w:r w:rsidR="0089133B">
        <w:rPr>
          <w:rFonts w:hint="eastAsia"/>
        </w:rPr>
        <w:t>PMB At</w:t>
      </w:r>
      <w:r w:rsidR="008B0798">
        <w:rPr>
          <w:rFonts w:hint="eastAsia"/>
        </w:rPr>
        <w:t>r</w:t>
      </w:r>
      <w:r w:rsidR="0089133B">
        <w:rPr>
          <w:rFonts w:hint="eastAsia"/>
        </w:rPr>
        <w:t>ium</w:t>
      </w:r>
      <w:r w:rsidRPr="000E3A29">
        <w:t>, University of Nottingham Ningbo China (Main Competition Area)</w:t>
      </w:r>
    </w:p>
    <w:p w14:paraId="6275EA2D" w14:textId="77777777" w:rsidR="00DA19D5" w:rsidRDefault="009271DA" w:rsidP="00DA19D5">
      <w:pPr>
        <w:pStyle w:val="ListParagraph"/>
        <w:widowControl w:val="0"/>
        <w:numPr>
          <w:ilvl w:val="0"/>
          <w:numId w:val="30"/>
        </w:numPr>
      </w:pPr>
      <w:r w:rsidRPr="00DA19D5">
        <w:rPr>
          <w:b/>
          <w:bCs/>
        </w:rPr>
        <w:t>Training Area</w:t>
      </w:r>
      <w:r w:rsidRPr="000E3A29">
        <w:t>: Maker Space (Pre-competition Training Zone)</w:t>
      </w:r>
    </w:p>
    <w:p w14:paraId="50F2BD3D" w14:textId="77777777" w:rsidR="00DA19D5" w:rsidRDefault="00DA19D5" w:rsidP="00DA19D5">
      <w:pPr>
        <w:pStyle w:val="ListParagraph"/>
        <w:widowControl w:val="0"/>
      </w:pPr>
    </w:p>
    <w:p w14:paraId="655AED94" w14:textId="60A5BA8E" w:rsidR="009271DA" w:rsidRPr="000E3A29" w:rsidRDefault="009271DA" w:rsidP="00DA19D5">
      <w:pPr>
        <w:pStyle w:val="ListParagraph"/>
        <w:widowControl w:val="0"/>
      </w:pPr>
      <w:r w:rsidRPr="000E3A29">
        <w:t xml:space="preserve">The main competition area requires a </w:t>
      </w:r>
      <w:r w:rsidRPr="00BB06F3">
        <w:rPr>
          <w:b/>
          <w:bCs/>
        </w:rPr>
        <w:t>10m (length) × 8m (width) × 5m (height)</w:t>
      </w:r>
      <w:r w:rsidRPr="000E3A29">
        <w:t xml:space="preserve"> three-dimensional space, equipped with a fully enclosed protective cage and obstacle facilities.</w:t>
      </w:r>
    </w:p>
    <w:p w14:paraId="6C592F97" w14:textId="174C887D" w:rsidR="009271DA" w:rsidRPr="000E3A29" w:rsidRDefault="009271DA" w:rsidP="00321579">
      <w:pPr>
        <w:widowControl w:val="0"/>
        <w:ind w:left="720"/>
      </w:pPr>
      <w:r w:rsidRPr="000E3A29">
        <w:t xml:space="preserve">Supporting control areas </w:t>
      </w:r>
      <w:r w:rsidRPr="00BB06F3">
        <w:rPr>
          <w:b/>
          <w:bCs/>
        </w:rPr>
        <w:t xml:space="preserve">7m </w:t>
      </w:r>
      <w:r w:rsidR="00A60647" w:rsidRPr="00BB06F3">
        <w:rPr>
          <w:b/>
          <w:bCs/>
        </w:rPr>
        <w:t>(length)</w:t>
      </w:r>
      <w:r w:rsidRPr="00BB06F3">
        <w:rPr>
          <w:b/>
          <w:bCs/>
        </w:rPr>
        <w:t xml:space="preserve"> × 2m </w:t>
      </w:r>
      <w:r w:rsidR="00A60647" w:rsidRPr="00BB06F3">
        <w:rPr>
          <w:b/>
          <w:bCs/>
        </w:rPr>
        <w:t>(width)</w:t>
      </w:r>
      <w:r w:rsidRPr="00BB06F3">
        <w:rPr>
          <w:b/>
          <w:bCs/>
        </w:rPr>
        <w:t xml:space="preserve"> on each side</w:t>
      </w:r>
      <w:r w:rsidRPr="000E3A29">
        <w:t>, waiting areas, and spectator stands must ensure the venue meets safety competition standards.</w:t>
      </w:r>
    </w:p>
    <w:p w14:paraId="3483921E" w14:textId="77777777" w:rsidR="009271DA" w:rsidRPr="000E3A29" w:rsidRDefault="009271DA" w:rsidP="008628F2">
      <w:pPr>
        <w:adjustRightInd w:val="0"/>
        <w:snapToGrid w:val="0"/>
        <w:spacing w:beforeLines="50" w:before="120" w:afterLines="50" w:after="120"/>
        <w:rPr>
          <w:b/>
          <w:bCs/>
          <w:sz w:val="24"/>
          <w:szCs w:val="24"/>
        </w:rPr>
      </w:pPr>
      <w:r w:rsidRPr="000E3A29">
        <w:rPr>
          <w:b/>
          <w:bCs/>
          <w:sz w:val="24"/>
          <w:szCs w:val="24"/>
        </w:rPr>
        <w:t>(6) Organizers and Supporting Units</w:t>
      </w:r>
    </w:p>
    <w:p w14:paraId="36894FDB" w14:textId="77777777" w:rsidR="009271DA" w:rsidRPr="00D0007C" w:rsidRDefault="009271DA" w:rsidP="00D0007C">
      <w:pPr>
        <w:widowControl w:val="0"/>
        <w:ind w:left="720"/>
        <w:rPr>
          <w:b/>
          <w:bCs/>
        </w:rPr>
      </w:pPr>
      <w:r w:rsidRPr="00D0007C">
        <w:rPr>
          <w:b/>
          <w:bCs/>
        </w:rPr>
        <w:t>Organizer:</w:t>
      </w:r>
    </w:p>
    <w:p w14:paraId="4CC95EEC" w14:textId="77777777" w:rsidR="009271DA" w:rsidRPr="00D0007C" w:rsidRDefault="009271DA" w:rsidP="00D0007C">
      <w:pPr>
        <w:widowControl w:val="0"/>
        <w:ind w:left="720"/>
        <w:rPr>
          <w:b/>
          <w:bCs/>
        </w:rPr>
      </w:pPr>
      <w:r w:rsidRPr="00D0007C">
        <w:rPr>
          <w:b/>
          <w:bCs/>
        </w:rPr>
        <w:t>Undertaker:</w:t>
      </w:r>
    </w:p>
    <w:p w14:paraId="644B5FD2" w14:textId="77777777" w:rsidR="009271DA" w:rsidRDefault="009271DA" w:rsidP="00D0007C">
      <w:pPr>
        <w:widowControl w:val="0"/>
        <w:ind w:left="720"/>
      </w:pPr>
      <w:r w:rsidRPr="00D0007C">
        <w:rPr>
          <w:b/>
          <w:bCs/>
        </w:rPr>
        <w:t>Technical Support:</w:t>
      </w:r>
      <w:r w:rsidRPr="000E3A29">
        <w:t xml:space="preserve"> Zhejiang Tianji Yunbo Technology Co., Ltd.</w:t>
      </w:r>
    </w:p>
    <w:p w14:paraId="63DCCA39" w14:textId="77777777" w:rsidR="00D0007C" w:rsidRPr="000E3A29" w:rsidRDefault="00D0007C" w:rsidP="00D0007C">
      <w:pPr>
        <w:widowControl w:val="0"/>
        <w:ind w:left="720"/>
      </w:pPr>
    </w:p>
    <w:p w14:paraId="3AA7DE32" w14:textId="77777777" w:rsidR="009271DA" w:rsidRPr="000E3A29" w:rsidRDefault="009271DA" w:rsidP="008628F2">
      <w:pPr>
        <w:adjustRightInd w:val="0"/>
        <w:snapToGrid w:val="0"/>
        <w:spacing w:beforeLines="50" w:before="120" w:afterLines="50" w:after="120"/>
        <w:rPr>
          <w:b/>
          <w:bCs/>
          <w:sz w:val="24"/>
          <w:szCs w:val="24"/>
        </w:rPr>
      </w:pPr>
      <w:r w:rsidRPr="000E3A29">
        <w:rPr>
          <w:b/>
          <w:bCs/>
          <w:sz w:val="24"/>
          <w:szCs w:val="24"/>
        </w:rPr>
        <w:t>II. Core Content Design of the Activity</w:t>
      </w:r>
    </w:p>
    <w:p w14:paraId="5503F503" w14:textId="77777777" w:rsidR="009271DA" w:rsidRPr="000E3A29" w:rsidRDefault="009271DA" w:rsidP="008628F2">
      <w:pPr>
        <w:adjustRightInd w:val="0"/>
        <w:snapToGrid w:val="0"/>
        <w:spacing w:beforeLines="50" w:before="120" w:afterLines="50" w:after="120"/>
        <w:rPr>
          <w:b/>
          <w:bCs/>
          <w:sz w:val="24"/>
          <w:szCs w:val="24"/>
        </w:rPr>
      </w:pPr>
      <w:r w:rsidRPr="000E3A29">
        <w:rPr>
          <w:b/>
          <w:bCs/>
          <w:sz w:val="24"/>
          <w:szCs w:val="24"/>
        </w:rPr>
        <w:t>(1) Innovative Competition Format: "Antagonism + Obstacles" Dual-Dimension Competition</w:t>
      </w:r>
    </w:p>
    <w:p w14:paraId="13DB4D8F" w14:textId="77777777" w:rsidR="009271DA" w:rsidRDefault="009271DA" w:rsidP="0050711E">
      <w:pPr>
        <w:widowControl w:val="0"/>
        <w:numPr>
          <w:ilvl w:val="0"/>
          <w:numId w:val="7"/>
        </w:numPr>
      </w:pPr>
      <w:r w:rsidRPr="003C68FE">
        <w:rPr>
          <w:b/>
          <w:bCs/>
        </w:rPr>
        <w:t>Team Composition</w:t>
      </w:r>
      <w:r w:rsidRPr="000E3A29">
        <w:t>: Each team consists of 3 players (1 offensive operator, 2 defensive/support operators), with the option to register an additional coach. Cross-disciplinary team formation is supported.</w:t>
      </w:r>
    </w:p>
    <w:p w14:paraId="33F17FFB" w14:textId="77777777" w:rsidR="006B1D50" w:rsidRPr="000E3A29" w:rsidRDefault="006B1D50" w:rsidP="006B1D50">
      <w:pPr>
        <w:widowControl w:val="0"/>
        <w:ind w:left="720"/>
      </w:pPr>
    </w:p>
    <w:p w14:paraId="5F3B15C7" w14:textId="77777777" w:rsidR="009271DA" w:rsidRPr="000E3A29" w:rsidRDefault="009271DA" w:rsidP="0050711E">
      <w:pPr>
        <w:widowControl w:val="0"/>
        <w:numPr>
          <w:ilvl w:val="0"/>
          <w:numId w:val="7"/>
        </w:numPr>
      </w:pPr>
      <w:r w:rsidRPr="003C68FE">
        <w:rPr>
          <w:b/>
          <w:bCs/>
        </w:rPr>
        <w:t>Obstacle Design</w:t>
      </w:r>
      <w:r w:rsidRPr="000E3A29">
        <w:t>: Three types of obstacle courses are set up in the flight area, all clearly marked:</w:t>
      </w:r>
    </w:p>
    <w:p w14:paraId="78BF6149" w14:textId="77777777" w:rsidR="009271DA" w:rsidRPr="000E3A29" w:rsidRDefault="009271DA" w:rsidP="007051C1">
      <w:pPr>
        <w:pStyle w:val="ListParagraph"/>
        <w:widowControl w:val="0"/>
        <w:numPr>
          <w:ilvl w:val="0"/>
          <w:numId w:val="31"/>
        </w:numPr>
      </w:pPr>
      <w:r w:rsidRPr="000E3A29">
        <w:t>Low Altitude Crossing Ring: A circular obstacle with a diameter of 50cm, 1.5m above the ground.</w:t>
      </w:r>
    </w:p>
    <w:p w14:paraId="6104203C" w14:textId="77777777" w:rsidR="009271DA" w:rsidRPr="000E3A29" w:rsidRDefault="009271DA" w:rsidP="007051C1">
      <w:pPr>
        <w:pStyle w:val="ListParagraph"/>
        <w:widowControl w:val="0"/>
        <w:numPr>
          <w:ilvl w:val="0"/>
          <w:numId w:val="31"/>
        </w:numPr>
      </w:pPr>
      <w:r w:rsidRPr="000E3A29">
        <w:t>Fixed Obstacle Poles: Pole groups spaced 1.2m apart.</w:t>
      </w:r>
    </w:p>
    <w:p w14:paraId="76557B3B" w14:textId="77777777" w:rsidR="009271DA" w:rsidRDefault="009271DA" w:rsidP="007051C1">
      <w:pPr>
        <w:pStyle w:val="ListParagraph"/>
        <w:widowControl w:val="0"/>
        <w:numPr>
          <w:ilvl w:val="0"/>
          <w:numId w:val="31"/>
        </w:numPr>
      </w:pPr>
      <w:r w:rsidRPr="000E3A29">
        <w:t>Turn-back Marking Zone: A zone where the drone must complete its flight and return to the starting area, with 1 such zone.</w:t>
      </w:r>
    </w:p>
    <w:p w14:paraId="0D51BBD4" w14:textId="77777777" w:rsidR="007051C1" w:rsidRPr="000E3A29" w:rsidRDefault="007051C1" w:rsidP="007051C1">
      <w:pPr>
        <w:pStyle w:val="ListParagraph"/>
        <w:widowControl w:val="0"/>
      </w:pPr>
    </w:p>
    <w:p w14:paraId="486573AE" w14:textId="77777777" w:rsidR="009271DA" w:rsidRPr="000E3A29" w:rsidRDefault="009271DA" w:rsidP="008628F2">
      <w:pPr>
        <w:adjustRightInd w:val="0"/>
        <w:snapToGrid w:val="0"/>
        <w:spacing w:beforeLines="50" w:before="120" w:afterLines="50" w:after="120"/>
        <w:rPr>
          <w:b/>
          <w:bCs/>
          <w:sz w:val="24"/>
          <w:szCs w:val="24"/>
        </w:rPr>
      </w:pPr>
      <w:r w:rsidRPr="000E3A29">
        <w:rPr>
          <w:b/>
          <w:bCs/>
          <w:sz w:val="24"/>
          <w:szCs w:val="24"/>
        </w:rPr>
        <w:lastRenderedPageBreak/>
        <w:t>(2) Equipment and Rule Specifications</w:t>
      </w:r>
    </w:p>
    <w:p w14:paraId="7713ADC1" w14:textId="77777777" w:rsidR="009271DA" w:rsidRPr="000E3A29" w:rsidRDefault="009271DA" w:rsidP="0050711E">
      <w:pPr>
        <w:widowControl w:val="0"/>
        <w:numPr>
          <w:ilvl w:val="0"/>
          <w:numId w:val="8"/>
        </w:numPr>
      </w:pPr>
      <w:r w:rsidRPr="000E3A29">
        <w:t>Drone Technical Standards: F9A-B lightweight equipment (suitable for campus competitions) with the following parameters:</w:t>
      </w:r>
    </w:p>
    <w:p w14:paraId="48FDB342" w14:textId="77777777" w:rsidR="009271DA" w:rsidRPr="000E3A29" w:rsidRDefault="009271DA" w:rsidP="0050711E">
      <w:pPr>
        <w:widowControl w:val="0"/>
        <w:numPr>
          <w:ilvl w:val="1"/>
          <w:numId w:val="8"/>
        </w:numPr>
      </w:pPr>
      <w:r w:rsidRPr="000E3A29">
        <w:t xml:space="preserve">Size: Spherical protective frame diameter </w:t>
      </w:r>
      <w:r w:rsidRPr="00B75144">
        <w:rPr>
          <w:b/>
          <w:bCs/>
        </w:rPr>
        <w:t>200±20mm</w:t>
      </w:r>
      <w:r w:rsidRPr="000E3A29">
        <w:t xml:space="preserve">, wheelbase </w:t>
      </w:r>
      <w:r w:rsidRPr="00B75144">
        <w:rPr>
          <w:b/>
          <w:bCs/>
        </w:rPr>
        <w:t>215±10mm</w:t>
      </w:r>
      <w:r w:rsidRPr="000E3A29">
        <w:t>.</w:t>
      </w:r>
    </w:p>
    <w:p w14:paraId="47D2C56A" w14:textId="77777777" w:rsidR="009271DA" w:rsidRPr="000E3A29" w:rsidRDefault="009271DA" w:rsidP="0050711E">
      <w:pPr>
        <w:widowControl w:val="0"/>
        <w:numPr>
          <w:ilvl w:val="1"/>
          <w:numId w:val="8"/>
        </w:numPr>
      </w:pPr>
      <w:r w:rsidRPr="000E3A29">
        <w:t xml:space="preserve">Weight: Takeoff weight </w:t>
      </w:r>
      <w:r w:rsidRPr="00B75144">
        <w:rPr>
          <w:b/>
          <w:bCs/>
        </w:rPr>
        <w:t>≤ 300g</w:t>
      </w:r>
      <w:r w:rsidRPr="000E3A29">
        <w:t xml:space="preserve"> (including protective cover and battery).</w:t>
      </w:r>
    </w:p>
    <w:p w14:paraId="7BEC568F" w14:textId="77777777" w:rsidR="009271DA" w:rsidRPr="000E3A29" w:rsidRDefault="009271DA" w:rsidP="0050711E">
      <w:pPr>
        <w:widowControl w:val="0"/>
        <w:numPr>
          <w:ilvl w:val="1"/>
          <w:numId w:val="8"/>
        </w:numPr>
      </w:pPr>
      <w:r w:rsidRPr="000E3A29">
        <w:t>Safety Configuration: Fully enclosed non-metallic protective frame, fault safety shutdown device, ground flip function support.</w:t>
      </w:r>
    </w:p>
    <w:p w14:paraId="34C1B119" w14:textId="77777777" w:rsidR="009271DA" w:rsidRPr="000E3A29" w:rsidRDefault="009271DA" w:rsidP="0050711E">
      <w:pPr>
        <w:widowControl w:val="0"/>
        <w:numPr>
          <w:ilvl w:val="1"/>
          <w:numId w:val="8"/>
        </w:numPr>
      </w:pPr>
      <w:r w:rsidRPr="000E3A29">
        <w:t>Power System: 4 motors, double-bladed non-metallic propellers, lithium battery.</w:t>
      </w:r>
    </w:p>
    <w:p w14:paraId="05B3DD62" w14:textId="77777777" w:rsidR="009271DA" w:rsidRPr="000E3A29" w:rsidRDefault="009271DA" w:rsidP="0050711E">
      <w:pPr>
        <w:widowControl w:val="0"/>
        <w:numPr>
          <w:ilvl w:val="1"/>
          <w:numId w:val="8"/>
        </w:numPr>
      </w:pPr>
      <w:r w:rsidRPr="000E3A29">
        <w:t>Identification Markings: Red/Blue dual-color protective frames, equipped with LED lights on the fuselage.</w:t>
      </w:r>
    </w:p>
    <w:p w14:paraId="6040AF26" w14:textId="77777777" w:rsidR="009271DA" w:rsidRPr="000E3A29" w:rsidRDefault="009271DA" w:rsidP="0050711E">
      <w:pPr>
        <w:widowControl w:val="0"/>
        <w:numPr>
          <w:ilvl w:val="0"/>
          <w:numId w:val="8"/>
        </w:numPr>
      </w:pPr>
      <w:r w:rsidRPr="000E3A29">
        <w:t>Core Competition Rules:</w:t>
      </w:r>
    </w:p>
    <w:p w14:paraId="2C8C27A3" w14:textId="77777777" w:rsidR="009271DA" w:rsidRPr="000E3A29" w:rsidRDefault="009271DA" w:rsidP="0050711E">
      <w:pPr>
        <w:widowControl w:val="0"/>
        <w:numPr>
          <w:ilvl w:val="1"/>
          <w:numId w:val="8"/>
        </w:numPr>
      </w:pPr>
      <w:r w:rsidRPr="000E3A29">
        <w:t>Control Restrictions: Players must operate within designated control areas and are not allowed to touch the drones or leave the venue during the competition.</w:t>
      </w:r>
    </w:p>
    <w:p w14:paraId="17D96219" w14:textId="77777777" w:rsidR="009271DA" w:rsidRPr="000E3A29" w:rsidRDefault="009271DA" w:rsidP="0050711E">
      <w:pPr>
        <w:widowControl w:val="0"/>
        <w:numPr>
          <w:ilvl w:val="1"/>
          <w:numId w:val="8"/>
        </w:numPr>
      </w:pPr>
      <w:r w:rsidRPr="000E3A29">
        <w:t>Equipment Provision: The organizer will uniformly provide competition drones, with equipment reviews conducted before the competition to ensure consistent performance.</w:t>
      </w:r>
    </w:p>
    <w:p w14:paraId="0995104F" w14:textId="77777777" w:rsidR="009271DA" w:rsidRPr="000E3A29" w:rsidRDefault="009271DA" w:rsidP="008628F2">
      <w:pPr>
        <w:adjustRightInd w:val="0"/>
        <w:snapToGrid w:val="0"/>
        <w:spacing w:beforeLines="50" w:before="120" w:afterLines="50" w:after="120"/>
        <w:rPr>
          <w:b/>
          <w:bCs/>
          <w:sz w:val="24"/>
          <w:szCs w:val="24"/>
        </w:rPr>
      </w:pPr>
      <w:r w:rsidRPr="000E3A29">
        <w:rPr>
          <w:b/>
          <w:bCs/>
          <w:sz w:val="24"/>
          <w:szCs w:val="24"/>
        </w:rPr>
        <w:t>(3) Newcomer-Friendly Support System</w:t>
      </w:r>
    </w:p>
    <w:p w14:paraId="369F5528" w14:textId="77777777" w:rsidR="009271DA" w:rsidRPr="000E3A29" w:rsidRDefault="009271DA" w:rsidP="0050711E">
      <w:pPr>
        <w:widowControl w:val="0"/>
        <w:numPr>
          <w:ilvl w:val="0"/>
          <w:numId w:val="9"/>
        </w:numPr>
      </w:pPr>
      <w:r w:rsidRPr="000E3A29">
        <w:t>Pre-competition Training: One training session (14:00-16:00) will be held one week before the activity, covering:</w:t>
      </w:r>
    </w:p>
    <w:p w14:paraId="1992AAB0" w14:textId="77777777" w:rsidR="009271DA" w:rsidRPr="000E3A29" w:rsidRDefault="009271DA" w:rsidP="0050711E">
      <w:pPr>
        <w:widowControl w:val="0"/>
        <w:numPr>
          <w:ilvl w:val="1"/>
          <w:numId w:val="9"/>
        </w:numPr>
      </w:pPr>
      <w:r w:rsidRPr="000E3A29">
        <w:t>Theoretical Module: Drone structure principles, competition rule interpretation, and safety operation norms.</w:t>
      </w:r>
    </w:p>
    <w:p w14:paraId="2AAADC88" w14:textId="77777777" w:rsidR="009271DA" w:rsidRPr="000E3A29" w:rsidRDefault="009271DA" w:rsidP="0050711E">
      <w:pPr>
        <w:widowControl w:val="0"/>
        <w:numPr>
          <w:ilvl w:val="1"/>
          <w:numId w:val="9"/>
        </w:numPr>
      </w:pPr>
      <w:r w:rsidRPr="000E3A29">
        <w:t>Practical Module: Basic flight practice, obstacle crossing techniques, with training drones provided for practice.</w:t>
      </w:r>
    </w:p>
    <w:p w14:paraId="77DB28E4" w14:textId="77777777" w:rsidR="009271DA" w:rsidRPr="000E3A29" w:rsidRDefault="009271DA" w:rsidP="0050711E">
      <w:pPr>
        <w:widowControl w:val="0"/>
        <w:numPr>
          <w:ilvl w:val="0"/>
          <w:numId w:val="9"/>
        </w:numPr>
      </w:pPr>
      <w:r w:rsidRPr="000E3A29">
        <w:t>Technical Support: A technical service desk will be set up at the competition site, with 4 professionals responsible for equipment debugging and fault repairs.</w:t>
      </w:r>
    </w:p>
    <w:p w14:paraId="7D313D34" w14:textId="77777777" w:rsidR="005C606D" w:rsidRDefault="005C606D" w:rsidP="008628F2"/>
    <w:p w14:paraId="2DBCAAB7" w14:textId="61167024" w:rsidR="009271DA" w:rsidRPr="000E3A29" w:rsidRDefault="006B1D50" w:rsidP="006B1D50">
      <w:r>
        <w:rPr>
          <w:rFonts w:hint="eastAsia"/>
        </w:rPr>
        <w:t xml:space="preserve">       </w:t>
      </w:r>
      <w:r w:rsidR="009271DA" w:rsidRPr="000E3A29">
        <w:t>Each session will provide a 30-second equipment testing time before the competition.</w:t>
      </w:r>
    </w:p>
    <w:p w14:paraId="2ECE6159" w14:textId="77777777" w:rsidR="005C606D" w:rsidRDefault="005C606D" w:rsidP="008628F2">
      <w:pPr>
        <w:adjustRightInd w:val="0"/>
        <w:snapToGrid w:val="0"/>
        <w:spacing w:beforeLines="50" w:before="120" w:afterLines="50" w:after="120"/>
        <w:rPr>
          <w:b/>
          <w:bCs/>
          <w:sz w:val="24"/>
          <w:szCs w:val="24"/>
        </w:rPr>
      </w:pPr>
    </w:p>
    <w:p w14:paraId="39EDF9EF" w14:textId="6505E927" w:rsidR="009271DA" w:rsidRPr="000E3A29" w:rsidRDefault="009271DA" w:rsidP="008628F2">
      <w:pPr>
        <w:adjustRightInd w:val="0"/>
        <w:snapToGrid w:val="0"/>
        <w:spacing w:beforeLines="50" w:before="120" w:afterLines="50" w:after="120"/>
        <w:rPr>
          <w:b/>
          <w:bCs/>
          <w:sz w:val="24"/>
          <w:szCs w:val="24"/>
        </w:rPr>
      </w:pPr>
      <w:r w:rsidRPr="000E3A29">
        <w:rPr>
          <w:b/>
          <w:bCs/>
          <w:sz w:val="24"/>
          <w:szCs w:val="24"/>
        </w:rPr>
        <w:t>III. Activity Schedule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14"/>
        <w:gridCol w:w="2464"/>
        <w:gridCol w:w="5338"/>
      </w:tblGrid>
      <w:tr w:rsidR="009271DA" w:rsidRPr="000E3A29" w14:paraId="1BA370AB" w14:textId="77777777" w:rsidTr="005C606D">
        <w:trPr>
          <w:tblHeader/>
          <w:tblCellSpacing w:w="15" w:type="dxa"/>
        </w:trPr>
        <w:tc>
          <w:tcPr>
            <w:tcW w:w="1134" w:type="dxa"/>
            <w:tcMar>
              <w:top w:w="150" w:type="dxa"/>
              <w:left w:w="300" w:type="dxa"/>
              <w:bottom w:w="150" w:type="dxa"/>
              <w:right w:w="300" w:type="dxa"/>
            </w:tcMar>
            <w:vAlign w:val="center"/>
            <w:hideMark/>
          </w:tcPr>
          <w:p w14:paraId="799A1C4A" w14:textId="77777777" w:rsidR="009271DA" w:rsidRPr="000E3A29" w:rsidRDefault="009271DA" w:rsidP="008628F2">
            <w:pPr>
              <w:rPr>
                <w:b/>
                <w:bCs/>
              </w:rPr>
            </w:pPr>
            <w:r w:rsidRPr="000E3A29">
              <w:rPr>
                <w:b/>
                <w:bCs/>
              </w:rPr>
              <w:t>Time Slot</w:t>
            </w:r>
          </w:p>
        </w:tc>
        <w:tc>
          <w:tcPr>
            <w:tcW w:w="2434" w:type="dxa"/>
            <w:tcMar>
              <w:top w:w="150" w:type="dxa"/>
              <w:left w:w="300" w:type="dxa"/>
              <w:bottom w:w="150" w:type="dxa"/>
              <w:right w:w="300" w:type="dxa"/>
            </w:tcMar>
            <w:vAlign w:val="center"/>
            <w:hideMark/>
          </w:tcPr>
          <w:p w14:paraId="283C3440" w14:textId="77777777" w:rsidR="009271DA" w:rsidRPr="000E3A29" w:rsidRDefault="009271DA" w:rsidP="008628F2">
            <w:pPr>
              <w:rPr>
                <w:b/>
                <w:bCs/>
              </w:rPr>
            </w:pPr>
            <w:r w:rsidRPr="000E3A29">
              <w:rPr>
                <w:b/>
                <w:bCs/>
              </w:rPr>
              <w:t>Event Content</w:t>
            </w:r>
          </w:p>
        </w:tc>
        <w:tc>
          <w:tcPr>
            <w:tcW w:w="0" w:type="auto"/>
            <w:tcMar>
              <w:top w:w="150" w:type="dxa"/>
              <w:left w:w="300" w:type="dxa"/>
              <w:bottom w:w="150" w:type="dxa"/>
              <w:right w:w="300" w:type="dxa"/>
            </w:tcMar>
            <w:vAlign w:val="center"/>
            <w:hideMark/>
          </w:tcPr>
          <w:p w14:paraId="28AD4E59" w14:textId="77777777" w:rsidR="009271DA" w:rsidRPr="000E3A29" w:rsidRDefault="009271DA" w:rsidP="008628F2">
            <w:pPr>
              <w:rPr>
                <w:b/>
                <w:bCs/>
              </w:rPr>
            </w:pPr>
            <w:r w:rsidRPr="000E3A29">
              <w:rPr>
                <w:b/>
                <w:bCs/>
              </w:rPr>
              <w:t>Specific Arrangements</w:t>
            </w:r>
          </w:p>
        </w:tc>
      </w:tr>
      <w:tr w:rsidR="009271DA" w:rsidRPr="000E3A29" w14:paraId="08FF19B9" w14:textId="77777777" w:rsidTr="005C606D">
        <w:trPr>
          <w:tblCellSpacing w:w="15" w:type="dxa"/>
        </w:trPr>
        <w:tc>
          <w:tcPr>
            <w:tcW w:w="1134" w:type="dxa"/>
            <w:tcMar>
              <w:top w:w="150" w:type="dxa"/>
              <w:left w:w="300" w:type="dxa"/>
              <w:bottom w:w="150" w:type="dxa"/>
              <w:right w:w="300" w:type="dxa"/>
            </w:tcMar>
            <w:vAlign w:val="center"/>
            <w:hideMark/>
          </w:tcPr>
          <w:p w14:paraId="68261CC5" w14:textId="77777777" w:rsidR="009271DA" w:rsidRPr="000E3A29" w:rsidRDefault="009271DA" w:rsidP="008628F2">
            <w:r w:rsidRPr="000E3A29">
              <w:t>10:00</w:t>
            </w:r>
          </w:p>
        </w:tc>
        <w:tc>
          <w:tcPr>
            <w:tcW w:w="2434" w:type="dxa"/>
            <w:tcMar>
              <w:top w:w="150" w:type="dxa"/>
              <w:left w:w="300" w:type="dxa"/>
              <w:bottom w:w="150" w:type="dxa"/>
              <w:right w:w="300" w:type="dxa"/>
            </w:tcMar>
            <w:vAlign w:val="center"/>
            <w:hideMark/>
          </w:tcPr>
          <w:p w14:paraId="192AAACE" w14:textId="77777777" w:rsidR="009271DA" w:rsidRPr="000E3A29" w:rsidRDefault="009271DA" w:rsidP="008628F2">
            <w:r w:rsidRPr="000E3A29">
              <w:t>Venue and Equipment Preparation</w:t>
            </w:r>
          </w:p>
        </w:tc>
        <w:tc>
          <w:tcPr>
            <w:tcW w:w="0" w:type="auto"/>
            <w:tcMar>
              <w:top w:w="150" w:type="dxa"/>
              <w:left w:w="300" w:type="dxa"/>
              <w:bottom w:w="150" w:type="dxa"/>
              <w:right w:w="300" w:type="dxa"/>
            </w:tcMar>
            <w:vAlign w:val="center"/>
            <w:hideMark/>
          </w:tcPr>
          <w:p w14:paraId="14E75045" w14:textId="77777777" w:rsidR="009271DA" w:rsidRPr="000E3A29" w:rsidRDefault="009271DA" w:rsidP="008628F2">
            <w:r w:rsidRPr="000E3A29">
              <w:t>Set up the competition area protective cage, obstacle facilities, debug drones and timing equipment, arrange spectator stands and registration area.</w:t>
            </w:r>
          </w:p>
        </w:tc>
      </w:tr>
      <w:tr w:rsidR="009271DA" w:rsidRPr="000E3A29" w14:paraId="723DA61E" w14:textId="77777777" w:rsidTr="005C606D">
        <w:trPr>
          <w:tblCellSpacing w:w="15" w:type="dxa"/>
        </w:trPr>
        <w:tc>
          <w:tcPr>
            <w:tcW w:w="1134" w:type="dxa"/>
            <w:tcMar>
              <w:top w:w="150" w:type="dxa"/>
              <w:left w:w="300" w:type="dxa"/>
              <w:bottom w:w="150" w:type="dxa"/>
              <w:right w:w="300" w:type="dxa"/>
            </w:tcMar>
            <w:vAlign w:val="center"/>
            <w:hideMark/>
          </w:tcPr>
          <w:p w14:paraId="3D8A7997" w14:textId="77777777" w:rsidR="009271DA" w:rsidRPr="000E3A29" w:rsidRDefault="009271DA" w:rsidP="008628F2">
            <w:r w:rsidRPr="000E3A29">
              <w:t>13:30-14:00</w:t>
            </w:r>
          </w:p>
        </w:tc>
        <w:tc>
          <w:tcPr>
            <w:tcW w:w="2434" w:type="dxa"/>
            <w:tcMar>
              <w:top w:w="150" w:type="dxa"/>
              <w:left w:w="300" w:type="dxa"/>
              <w:bottom w:w="150" w:type="dxa"/>
              <w:right w:w="300" w:type="dxa"/>
            </w:tcMar>
            <w:vAlign w:val="center"/>
            <w:hideMark/>
          </w:tcPr>
          <w:p w14:paraId="04677638" w14:textId="77777777" w:rsidR="009271DA" w:rsidRPr="000E3A29" w:rsidRDefault="009271DA" w:rsidP="008628F2">
            <w:r w:rsidRPr="000E3A29">
              <w:t>Registration and Opening Ceremony</w:t>
            </w:r>
          </w:p>
        </w:tc>
        <w:tc>
          <w:tcPr>
            <w:tcW w:w="0" w:type="auto"/>
            <w:tcMar>
              <w:top w:w="150" w:type="dxa"/>
              <w:left w:w="300" w:type="dxa"/>
              <w:bottom w:w="150" w:type="dxa"/>
              <w:right w:w="300" w:type="dxa"/>
            </w:tcMar>
            <w:vAlign w:val="center"/>
            <w:hideMark/>
          </w:tcPr>
          <w:p w14:paraId="102EE616" w14:textId="77777777" w:rsidR="009271DA" w:rsidRPr="000E3A29" w:rsidRDefault="009271DA" w:rsidP="008628F2">
            <w:r w:rsidRPr="000E3A29">
              <w:t>Competitors sign in and receive participant badges, spectators enter; the host introduces the activity background, guests, and rules, and a representative from the school delivers a speech.</w:t>
            </w:r>
          </w:p>
        </w:tc>
      </w:tr>
      <w:tr w:rsidR="009271DA" w:rsidRPr="000E3A29" w14:paraId="467B47F5" w14:textId="77777777" w:rsidTr="005C606D">
        <w:trPr>
          <w:tblCellSpacing w:w="15" w:type="dxa"/>
        </w:trPr>
        <w:tc>
          <w:tcPr>
            <w:tcW w:w="1134" w:type="dxa"/>
            <w:tcMar>
              <w:top w:w="150" w:type="dxa"/>
              <w:left w:w="300" w:type="dxa"/>
              <w:bottom w:w="150" w:type="dxa"/>
              <w:right w:w="300" w:type="dxa"/>
            </w:tcMar>
            <w:vAlign w:val="center"/>
            <w:hideMark/>
          </w:tcPr>
          <w:p w14:paraId="421ABBB8" w14:textId="77777777" w:rsidR="009271DA" w:rsidRPr="000E3A29" w:rsidRDefault="009271DA" w:rsidP="008628F2">
            <w:r w:rsidRPr="000E3A29">
              <w:t>14:00-17:30</w:t>
            </w:r>
          </w:p>
        </w:tc>
        <w:tc>
          <w:tcPr>
            <w:tcW w:w="2434" w:type="dxa"/>
            <w:tcMar>
              <w:top w:w="150" w:type="dxa"/>
              <w:left w:w="300" w:type="dxa"/>
              <w:bottom w:w="150" w:type="dxa"/>
              <w:right w:w="300" w:type="dxa"/>
            </w:tcMar>
            <w:vAlign w:val="center"/>
            <w:hideMark/>
          </w:tcPr>
          <w:p w14:paraId="16A04E33" w14:textId="77777777" w:rsidR="009271DA" w:rsidRPr="000E3A29" w:rsidRDefault="009271DA" w:rsidP="008628F2">
            <w:r w:rsidRPr="000E3A29">
              <w:t>Competition Session</w:t>
            </w:r>
          </w:p>
        </w:tc>
        <w:tc>
          <w:tcPr>
            <w:tcW w:w="0" w:type="auto"/>
            <w:tcMar>
              <w:top w:w="150" w:type="dxa"/>
              <w:left w:w="300" w:type="dxa"/>
              <w:bottom w:w="150" w:type="dxa"/>
              <w:right w:w="300" w:type="dxa"/>
            </w:tcMar>
            <w:vAlign w:val="center"/>
            <w:hideMark/>
          </w:tcPr>
          <w:p w14:paraId="1EE4B187" w14:textId="77777777" w:rsidR="009271DA" w:rsidRPr="000E3A29" w:rsidRDefault="009271DA" w:rsidP="008628F2">
            <w:r w:rsidRPr="000E3A29">
              <w:t>Draw lots on-site to determine the competition order. After the draw, rules are explained. Competitions are conducted in turns.</w:t>
            </w:r>
          </w:p>
        </w:tc>
      </w:tr>
      <w:tr w:rsidR="009271DA" w:rsidRPr="000E3A29" w14:paraId="374E2789" w14:textId="77777777" w:rsidTr="005C606D">
        <w:trPr>
          <w:tblCellSpacing w:w="15" w:type="dxa"/>
        </w:trPr>
        <w:tc>
          <w:tcPr>
            <w:tcW w:w="1134" w:type="dxa"/>
            <w:tcMar>
              <w:top w:w="150" w:type="dxa"/>
              <w:left w:w="300" w:type="dxa"/>
              <w:bottom w:w="150" w:type="dxa"/>
              <w:right w:w="300" w:type="dxa"/>
            </w:tcMar>
            <w:vAlign w:val="center"/>
            <w:hideMark/>
          </w:tcPr>
          <w:p w14:paraId="02845986" w14:textId="77777777" w:rsidR="009271DA" w:rsidRPr="000E3A29" w:rsidRDefault="009271DA" w:rsidP="008628F2">
            <w:r w:rsidRPr="000E3A29">
              <w:t>After 17:30</w:t>
            </w:r>
          </w:p>
        </w:tc>
        <w:tc>
          <w:tcPr>
            <w:tcW w:w="2434" w:type="dxa"/>
            <w:tcMar>
              <w:top w:w="150" w:type="dxa"/>
              <w:left w:w="300" w:type="dxa"/>
              <w:bottom w:w="150" w:type="dxa"/>
              <w:right w:w="300" w:type="dxa"/>
            </w:tcMar>
            <w:vAlign w:val="center"/>
            <w:hideMark/>
          </w:tcPr>
          <w:p w14:paraId="2A6B2327" w14:textId="77777777" w:rsidR="009271DA" w:rsidRPr="000E3A29" w:rsidRDefault="009271DA" w:rsidP="008628F2">
            <w:r w:rsidRPr="000E3A29">
              <w:t>Venue Clearance and Equipment Recovery</w:t>
            </w:r>
          </w:p>
        </w:tc>
        <w:tc>
          <w:tcPr>
            <w:tcW w:w="0" w:type="auto"/>
            <w:tcMar>
              <w:top w:w="150" w:type="dxa"/>
              <w:left w:w="300" w:type="dxa"/>
              <w:bottom w:w="150" w:type="dxa"/>
              <w:right w:w="300" w:type="dxa"/>
            </w:tcMar>
            <w:vAlign w:val="center"/>
            <w:hideMark/>
          </w:tcPr>
          <w:p w14:paraId="6B304EDB" w14:textId="77777777" w:rsidR="009271DA" w:rsidRPr="000E3A29" w:rsidRDefault="009271DA" w:rsidP="008628F2">
            <w:r w:rsidRPr="000E3A29">
              <w:t>Staff dismantle venue facilities, recover drones and equipment, and organize activity supplies.</w:t>
            </w:r>
          </w:p>
        </w:tc>
      </w:tr>
    </w:tbl>
    <w:p w14:paraId="52866C5B" w14:textId="77777777" w:rsidR="005C606D" w:rsidRDefault="005C606D" w:rsidP="008628F2">
      <w:pPr>
        <w:adjustRightInd w:val="0"/>
        <w:snapToGrid w:val="0"/>
        <w:spacing w:beforeLines="50" w:before="120" w:afterLines="50" w:after="120"/>
        <w:rPr>
          <w:b/>
          <w:bCs/>
          <w:sz w:val="24"/>
          <w:szCs w:val="24"/>
        </w:rPr>
      </w:pPr>
    </w:p>
    <w:p w14:paraId="7FBF3E40" w14:textId="77777777" w:rsidR="005C606D" w:rsidRDefault="005C606D" w:rsidP="008628F2">
      <w:pPr>
        <w:adjustRightInd w:val="0"/>
        <w:snapToGrid w:val="0"/>
        <w:spacing w:beforeLines="50" w:before="120" w:afterLines="50" w:after="120"/>
        <w:rPr>
          <w:b/>
          <w:bCs/>
          <w:sz w:val="24"/>
          <w:szCs w:val="24"/>
        </w:rPr>
      </w:pPr>
    </w:p>
    <w:p w14:paraId="4C4F95E6" w14:textId="09F7BAA0" w:rsidR="009271DA" w:rsidRPr="000E3A29" w:rsidRDefault="009271DA" w:rsidP="008628F2">
      <w:pPr>
        <w:adjustRightInd w:val="0"/>
        <w:snapToGrid w:val="0"/>
        <w:spacing w:beforeLines="50" w:before="120" w:afterLines="50" w:after="120"/>
        <w:rPr>
          <w:b/>
          <w:bCs/>
          <w:sz w:val="24"/>
          <w:szCs w:val="24"/>
        </w:rPr>
      </w:pPr>
      <w:r w:rsidRPr="000E3A29">
        <w:rPr>
          <w:b/>
          <w:bCs/>
          <w:sz w:val="24"/>
          <w:szCs w:val="24"/>
        </w:rPr>
        <w:lastRenderedPageBreak/>
        <w:t>IV. Promotion and Registration Strategies</w:t>
      </w:r>
    </w:p>
    <w:p w14:paraId="24367E4F" w14:textId="77777777" w:rsidR="009271DA" w:rsidRPr="000E3A29" w:rsidRDefault="009271DA" w:rsidP="008628F2">
      <w:pPr>
        <w:adjustRightInd w:val="0"/>
        <w:snapToGrid w:val="0"/>
        <w:spacing w:beforeLines="50" w:before="120" w:afterLines="50" w:after="120"/>
        <w:rPr>
          <w:b/>
          <w:bCs/>
          <w:sz w:val="24"/>
          <w:szCs w:val="24"/>
        </w:rPr>
      </w:pPr>
      <w:r w:rsidRPr="000E3A29">
        <w:rPr>
          <w:b/>
          <w:bCs/>
          <w:sz w:val="24"/>
          <w:szCs w:val="24"/>
        </w:rPr>
        <w:t>(1) Promotion Channel Matrix</w:t>
      </w:r>
    </w:p>
    <w:p w14:paraId="599869CD" w14:textId="77777777" w:rsidR="009271DA" w:rsidRPr="006B1D50" w:rsidRDefault="009271DA" w:rsidP="0050711E">
      <w:pPr>
        <w:widowControl w:val="0"/>
        <w:numPr>
          <w:ilvl w:val="0"/>
          <w:numId w:val="10"/>
        </w:numPr>
        <w:rPr>
          <w:b/>
          <w:bCs/>
        </w:rPr>
      </w:pPr>
      <w:r w:rsidRPr="006B1D50">
        <w:rPr>
          <w:b/>
          <w:bCs/>
        </w:rPr>
        <w:t>Campus Array Promotion:</w:t>
      </w:r>
    </w:p>
    <w:p w14:paraId="471FB3CA" w14:textId="77777777" w:rsidR="009271DA" w:rsidRPr="000E3A29" w:rsidRDefault="009271DA" w:rsidP="0050711E">
      <w:pPr>
        <w:widowControl w:val="0"/>
        <w:numPr>
          <w:ilvl w:val="1"/>
          <w:numId w:val="10"/>
        </w:numPr>
      </w:pPr>
      <w:r w:rsidRPr="000E3A29">
        <w:t>Offline: Set up 3 promotion points at the library, cafeteria, and teaching buildings, displaying posters (including event highlights and registration QR codes) and distributing 200 colored promotional flyers.</w:t>
      </w:r>
    </w:p>
    <w:p w14:paraId="26412FD1" w14:textId="41F45FA3" w:rsidR="009271DA" w:rsidRDefault="009271DA" w:rsidP="0050711E">
      <w:pPr>
        <w:widowControl w:val="0"/>
        <w:numPr>
          <w:ilvl w:val="1"/>
          <w:numId w:val="10"/>
        </w:numPr>
      </w:pPr>
      <w:r w:rsidRPr="000E3A29">
        <w:t xml:space="preserve">Online: Publish articles on the campus official website and the "Nottingham Student Union" WeChat public </w:t>
      </w:r>
      <w:r w:rsidR="00FD5BF8" w:rsidRPr="000E3A29">
        <w:t>account and</w:t>
      </w:r>
      <w:r w:rsidRPr="000E3A29">
        <w:t xml:space="preserve"> produce a 30-second short video (including highlights from previous events + this event's rule interpretation) for dissemination on the campus video account.</w:t>
      </w:r>
    </w:p>
    <w:p w14:paraId="6689886D" w14:textId="77777777" w:rsidR="006B1D50" w:rsidRPr="000E3A29" w:rsidRDefault="006B1D50" w:rsidP="006B1D50">
      <w:pPr>
        <w:widowControl w:val="0"/>
        <w:ind w:left="1440"/>
      </w:pPr>
    </w:p>
    <w:p w14:paraId="2DD419D4" w14:textId="77777777" w:rsidR="009271DA" w:rsidRPr="006B1D50" w:rsidRDefault="009271DA" w:rsidP="0050711E">
      <w:pPr>
        <w:widowControl w:val="0"/>
        <w:numPr>
          <w:ilvl w:val="0"/>
          <w:numId w:val="10"/>
        </w:numPr>
        <w:rPr>
          <w:b/>
          <w:bCs/>
        </w:rPr>
      </w:pPr>
      <w:r w:rsidRPr="006B1D50">
        <w:rPr>
          <w:b/>
          <w:bCs/>
        </w:rPr>
        <w:t>Precision Targeting Promotion:</w:t>
      </w:r>
    </w:p>
    <w:p w14:paraId="3CEF96A2" w14:textId="77777777" w:rsidR="009271DA" w:rsidRPr="000E3A29" w:rsidRDefault="009271DA" w:rsidP="0050711E">
      <w:pPr>
        <w:widowControl w:val="0"/>
        <w:numPr>
          <w:ilvl w:val="1"/>
          <w:numId w:val="10"/>
        </w:numPr>
      </w:pPr>
      <w:r w:rsidRPr="000E3A29">
        <w:t>Faculty Collaboration: Send activity notifications to key faculties such as the Faculty of Engineering and the Computer Science Department, encouraging professional teachers to recommend students to participate.</w:t>
      </w:r>
    </w:p>
    <w:p w14:paraId="4E729CAB" w14:textId="77777777" w:rsidR="009271DA" w:rsidRPr="000E3A29" w:rsidRDefault="009271DA" w:rsidP="0050711E">
      <w:pPr>
        <w:widowControl w:val="0"/>
        <w:numPr>
          <w:ilvl w:val="1"/>
          <w:numId w:val="10"/>
        </w:numPr>
      </w:pPr>
      <w:r w:rsidRPr="000E3A29">
        <w:t>Club Mobilization: Release registration information through club communities such as the Aeromodelling Association.</w:t>
      </w:r>
    </w:p>
    <w:p w14:paraId="1DF12178" w14:textId="77777777" w:rsidR="009271DA" w:rsidRPr="000E3A29" w:rsidRDefault="009271DA" w:rsidP="008628F2">
      <w:pPr>
        <w:adjustRightInd w:val="0"/>
        <w:snapToGrid w:val="0"/>
        <w:spacing w:beforeLines="50" w:before="120" w:afterLines="50" w:after="120"/>
        <w:rPr>
          <w:b/>
          <w:bCs/>
          <w:sz w:val="24"/>
          <w:szCs w:val="24"/>
        </w:rPr>
      </w:pPr>
      <w:r w:rsidRPr="000E3A29">
        <w:rPr>
          <w:b/>
          <w:bCs/>
          <w:sz w:val="24"/>
          <w:szCs w:val="24"/>
        </w:rPr>
        <w:t>(2) Registration Method and Screening</w:t>
      </w:r>
    </w:p>
    <w:p w14:paraId="469DA7CC" w14:textId="77777777" w:rsidR="009271DA" w:rsidRPr="000E3A29" w:rsidRDefault="009271DA" w:rsidP="0050711E">
      <w:pPr>
        <w:widowControl w:val="0"/>
        <w:numPr>
          <w:ilvl w:val="0"/>
          <w:numId w:val="11"/>
        </w:numPr>
      </w:pPr>
      <w:r w:rsidRPr="00105776">
        <w:rPr>
          <w:b/>
          <w:bCs/>
        </w:rPr>
        <w:t>Registration Time:</w:t>
      </w:r>
      <w:r w:rsidRPr="000E3A29">
        <w:t xml:space="preserve"> Within 7 days after the promotion starts, until the quota is filled.</w:t>
      </w:r>
    </w:p>
    <w:p w14:paraId="293B2796" w14:textId="77777777" w:rsidR="009271DA" w:rsidRPr="000E3A29" w:rsidRDefault="009271DA" w:rsidP="0050711E">
      <w:pPr>
        <w:widowControl w:val="0"/>
        <w:numPr>
          <w:ilvl w:val="0"/>
          <w:numId w:val="11"/>
        </w:numPr>
      </w:pPr>
      <w:r w:rsidRPr="00105776">
        <w:rPr>
          <w:b/>
          <w:bCs/>
        </w:rPr>
        <w:t>Registration Channel:</w:t>
      </w:r>
      <w:r w:rsidRPr="000E3A29">
        <w:t xml:space="preserve"> Fill out the registration form through the campus activity platform, indicating name, faculty, contact information, and drone operation experience.</w:t>
      </w:r>
    </w:p>
    <w:p w14:paraId="5487CC65" w14:textId="1D434795" w:rsidR="009271DA" w:rsidRDefault="009271DA" w:rsidP="00105776">
      <w:pPr>
        <w:pStyle w:val="ListParagraph"/>
        <w:widowControl w:val="0"/>
        <w:numPr>
          <w:ilvl w:val="0"/>
          <w:numId w:val="11"/>
        </w:numPr>
      </w:pPr>
      <w:r w:rsidRPr="00105776">
        <w:rPr>
          <w:b/>
          <w:bCs/>
        </w:rPr>
        <w:t>Screening Mechanism:</w:t>
      </w:r>
      <w:r w:rsidRPr="000E3A29">
        <w:t xml:space="preserve"> When the number of registrants exceeds 60, priority will be given to cross-disciplinary and international student </w:t>
      </w:r>
      <w:r w:rsidR="00BF6090" w:rsidRPr="000E3A29">
        <w:t>combinations. The</w:t>
      </w:r>
      <w:r w:rsidRPr="000E3A29">
        <w:t xml:space="preserve"> remaining participants will be determined by lottery, with the results announced in the registration group.</w:t>
      </w:r>
    </w:p>
    <w:p w14:paraId="62FE9881" w14:textId="77777777" w:rsidR="0027730C" w:rsidRPr="000E3A29" w:rsidRDefault="0027730C" w:rsidP="008628F2"/>
    <w:p w14:paraId="78B9135B" w14:textId="77777777" w:rsidR="009271DA" w:rsidRPr="000E3A29" w:rsidRDefault="009271DA" w:rsidP="008628F2">
      <w:pPr>
        <w:rPr>
          <w:b/>
          <w:bCs/>
          <w:sz w:val="24"/>
          <w:szCs w:val="24"/>
        </w:rPr>
      </w:pPr>
      <w:r w:rsidRPr="000E3A29">
        <w:rPr>
          <w:b/>
          <w:bCs/>
          <w:sz w:val="24"/>
          <w:szCs w:val="24"/>
        </w:rPr>
        <w:t>V. Safety and Guarantee Measures</w:t>
      </w:r>
    </w:p>
    <w:p w14:paraId="6F289400" w14:textId="77777777" w:rsidR="009271DA" w:rsidRPr="000E3A29" w:rsidRDefault="009271DA" w:rsidP="008628F2">
      <w:pPr>
        <w:adjustRightInd w:val="0"/>
        <w:snapToGrid w:val="0"/>
        <w:spacing w:beforeLines="50" w:before="120" w:afterLines="50" w:after="120"/>
        <w:rPr>
          <w:b/>
          <w:bCs/>
          <w:sz w:val="24"/>
          <w:szCs w:val="24"/>
        </w:rPr>
      </w:pPr>
      <w:r w:rsidRPr="000E3A29">
        <w:rPr>
          <w:b/>
          <w:bCs/>
          <w:sz w:val="24"/>
          <w:szCs w:val="24"/>
        </w:rPr>
        <w:t>(1) Venue Safety</w:t>
      </w:r>
    </w:p>
    <w:p w14:paraId="02C2AD47" w14:textId="77777777" w:rsidR="009271DA" w:rsidRPr="000E3A29" w:rsidRDefault="009271DA" w:rsidP="0050711E">
      <w:pPr>
        <w:widowControl w:val="0"/>
        <w:numPr>
          <w:ilvl w:val="0"/>
          <w:numId w:val="12"/>
        </w:numPr>
      </w:pPr>
      <w:r w:rsidRPr="000E3A29">
        <w:t>The flight area is equipped with a 4m high anti-collision protective cage and a 1.5m wide safety isolation belt around it.</w:t>
      </w:r>
    </w:p>
    <w:p w14:paraId="017E3837" w14:textId="77777777" w:rsidR="009271DA" w:rsidRPr="000E3A29" w:rsidRDefault="009271DA" w:rsidP="0050711E">
      <w:pPr>
        <w:widowControl w:val="0"/>
        <w:numPr>
          <w:ilvl w:val="0"/>
          <w:numId w:val="12"/>
        </w:numPr>
      </w:pPr>
      <w:r w:rsidRPr="000E3A29">
        <w:t>The spectator stands are separated from the competition area by 3m, and spectators are prohibited from entering the control areas.</w:t>
      </w:r>
    </w:p>
    <w:p w14:paraId="623F4B08" w14:textId="77777777" w:rsidR="009271DA" w:rsidRPr="000E3A29" w:rsidRDefault="009271DA" w:rsidP="008628F2">
      <w:pPr>
        <w:adjustRightInd w:val="0"/>
        <w:snapToGrid w:val="0"/>
        <w:spacing w:beforeLines="50" w:before="120" w:afterLines="50" w:after="120"/>
        <w:rPr>
          <w:b/>
          <w:bCs/>
          <w:sz w:val="24"/>
          <w:szCs w:val="24"/>
        </w:rPr>
      </w:pPr>
      <w:r w:rsidRPr="000E3A29">
        <w:rPr>
          <w:b/>
          <w:bCs/>
          <w:sz w:val="24"/>
          <w:szCs w:val="24"/>
        </w:rPr>
        <w:t>(2) Equipment Safety</w:t>
      </w:r>
    </w:p>
    <w:p w14:paraId="312E5375" w14:textId="77777777" w:rsidR="009271DA" w:rsidRPr="000E3A29" w:rsidRDefault="009271DA" w:rsidP="0050711E">
      <w:pPr>
        <w:widowControl w:val="0"/>
        <w:numPr>
          <w:ilvl w:val="0"/>
          <w:numId w:val="13"/>
        </w:numPr>
      </w:pPr>
      <w:r w:rsidRPr="000E3A29">
        <w:t>All drones undergo power system and safety device inspections before the competition, and only those with qualified labels can be used.</w:t>
      </w:r>
    </w:p>
    <w:p w14:paraId="59448944" w14:textId="77777777" w:rsidR="009271DA" w:rsidRPr="000E3A29" w:rsidRDefault="009271DA" w:rsidP="0050711E">
      <w:pPr>
        <w:widowControl w:val="0"/>
        <w:numPr>
          <w:ilvl w:val="0"/>
          <w:numId w:val="13"/>
        </w:numPr>
      </w:pPr>
      <w:r w:rsidRPr="000E3A29">
        <w:t>Two sets of emergency shutdown devices are equipped and managed by dedicated personnel, who will immediately activate them in case of emergencies.</w:t>
      </w:r>
    </w:p>
    <w:p w14:paraId="3552E6C5" w14:textId="77777777" w:rsidR="009271DA" w:rsidRPr="000E3A29" w:rsidRDefault="009271DA" w:rsidP="0050711E">
      <w:pPr>
        <w:widowControl w:val="0"/>
        <w:numPr>
          <w:ilvl w:val="0"/>
          <w:numId w:val="13"/>
        </w:numPr>
      </w:pPr>
      <w:r w:rsidRPr="000E3A29">
        <w:t>Batteries are managed uniformly, with the charging area kept away from fire sources and equipped with fire extinguishers and fire blankets.</w:t>
      </w:r>
    </w:p>
    <w:p w14:paraId="486BF114" w14:textId="77777777" w:rsidR="009271DA" w:rsidRPr="000E3A29" w:rsidRDefault="009271DA" w:rsidP="008628F2">
      <w:pPr>
        <w:adjustRightInd w:val="0"/>
        <w:snapToGrid w:val="0"/>
        <w:spacing w:beforeLines="50" w:before="120" w:afterLines="50" w:after="120"/>
        <w:rPr>
          <w:b/>
          <w:bCs/>
          <w:sz w:val="24"/>
          <w:szCs w:val="24"/>
        </w:rPr>
      </w:pPr>
      <w:r w:rsidRPr="000E3A29">
        <w:rPr>
          <w:b/>
          <w:bCs/>
          <w:sz w:val="24"/>
          <w:szCs w:val="24"/>
        </w:rPr>
        <w:t>(3) Personnel Safety</w:t>
      </w:r>
    </w:p>
    <w:p w14:paraId="700C5A1D" w14:textId="77777777" w:rsidR="009271DA" w:rsidRPr="000E3A29" w:rsidRDefault="009271DA" w:rsidP="00F7713A">
      <w:pPr>
        <w:widowControl w:val="0"/>
        <w:ind w:left="720"/>
      </w:pPr>
      <w:r w:rsidRPr="000E3A29">
        <w:t>Staff undergo safety training before taking up their posts, clarifying emergency evacuation routes and job responsibilities.</w:t>
      </w:r>
    </w:p>
    <w:p w14:paraId="24EA002D" w14:textId="77777777" w:rsidR="009271DA" w:rsidRPr="000E3A29" w:rsidRDefault="009271DA" w:rsidP="008628F2">
      <w:pPr>
        <w:adjustRightInd w:val="0"/>
        <w:snapToGrid w:val="0"/>
        <w:spacing w:beforeLines="50" w:before="120" w:afterLines="50" w:after="120"/>
        <w:rPr>
          <w:b/>
          <w:bCs/>
          <w:sz w:val="24"/>
          <w:szCs w:val="24"/>
        </w:rPr>
      </w:pPr>
      <w:r w:rsidRPr="000E3A29">
        <w:rPr>
          <w:b/>
          <w:bCs/>
          <w:sz w:val="24"/>
          <w:szCs w:val="24"/>
        </w:rPr>
        <w:t>(4) Emergency Plan</w:t>
      </w:r>
    </w:p>
    <w:p w14:paraId="401578B8" w14:textId="77777777" w:rsidR="009271DA" w:rsidRPr="000E3A29" w:rsidRDefault="009271DA" w:rsidP="0050711E">
      <w:pPr>
        <w:widowControl w:val="0"/>
        <w:numPr>
          <w:ilvl w:val="0"/>
          <w:numId w:val="15"/>
        </w:numPr>
      </w:pPr>
      <w:r w:rsidRPr="00F7713A">
        <w:rPr>
          <w:b/>
          <w:bCs/>
        </w:rPr>
        <w:t>Equipment Failure:</w:t>
      </w:r>
      <w:r w:rsidRPr="000E3A29">
        <w:t xml:space="preserve"> If a single drone fails, it can be replaced with a spare drone within no more than 2 minutes.</w:t>
      </w:r>
    </w:p>
    <w:p w14:paraId="12C4F16E" w14:textId="77777777" w:rsidR="009271DA" w:rsidRPr="000E3A29" w:rsidRDefault="009271DA" w:rsidP="0050711E">
      <w:pPr>
        <w:widowControl w:val="0"/>
        <w:numPr>
          <w:ilvl w:val="0"/>
          <w:numId w:val="15"/>
        </w:numPr>
      </w:pPr>
      <w:r w:rsidRPr="00F7713A">
        <w:rPr>
          <w:b/>
          <w:bCs/>
        </w:rPr>
        <w:t>Personnel Injury:</w:t>
      </w:r>
      <w:r w:rsidRPr="000E3A29">
        <w:t xml:space="preserve"> Immediately suspend the competition, have the school doctor provide initial treatment, and call 120 and contact family members in severe cases.</w:t>
      </w:r>
    </w:p>
    <w:p w14:paraId="286EC07C" w14:textId="77777777" w:rsidR="009271DA" w:rsidRDefault="009271DA" w:rsidP="0050711E">
      <w:pPr>
        <w:widowControl w:val="0"/>
        <w:numPr>
          <w:ilvl w:val="0"/>
          <w:numId w:val="15"/>
        </w:numPr>
      </w:pPr>
      <w:r w:rsidRPr="00F7713A">
        <w:rPr>
          <w:b/>
          <w:bCs/>
        </w:rPr>
        <w:t>Signal Interference:</w:t>
      </w:r>
      <w:r w:rsidRPr="000E3A29">
        <w:t xml:space="preserve"> Suspend the competition, investigate the interference source (turn off unauthorized 2.4G devices), and restart after confirming safety.</w:t>
      </w:r>
    </w:p>
    <w:p w14:paraId="1292DEDE" w14:textId="77777777" w:rsidR="00FD5BF8" w:rsidRPr="000E3A29" w:rsidRDefault="00FD5BF8" w:rsidP="00FD5BF8">
      <w:pPr>
        <w:widowControl w:val="0"/>
        <w:ind w:left="720"/>
      </w:pPr>
    </w:p>
    <w:p w14:paraId="3BDB1F60" w14:textId="77777777" w:rsidR="009271DA" w:rsidRPr="000E3A29" w:rsidRDefault="009271DA" w:rsidP="008628F2">
      <w:pPr>
        <w:adjustRightInd w:val="0"/>
        <w:snapToGrid w:val="0"/>
        <w:spacing w:beforeLines="50" w:before="120" w:afterLines="50" w:after="120"/>
        <w:rPr>
          <w:b/>
          <w:bCs/>
          <w:sz w:val="24"/>
          <w:szCs w:val="24"/>
        </w:rPr>
      </w:pPr>
      <w:r w:rsidRPr="000E3A29">
        <w:rPr>
          <w:b/>
          <w:bCs/>
          <w:sz w:val="24"/>
          <w:szCs w:val="24"/>
        </w:rPr>
        <w:lastRenderedPageBreak/>
        <w:t>VI. Awards and Incentive Settings</w:t>
      </w:r>
    </w:p>
    <w:p w14:paraId="604F86E8" w14:textId="77777777" w:rsidR="009271DA" w:rsidRDefault="009271DA" w:rsidP="0050711E">
      <w:pPr>
        <w:widowControl w:val="0"/>
        <w:numPr>
          <w:ilvl w:val="0"/>
          <w:numId w:val="16"/>
        </w:numPr>
      </w:pPr>
      <w:r w:rsidRPr="000E3A29">
        <w:t>Champion (1 person): Drone (Professional Remote Controller)</w:t>
      </w:r>
    </w:p>
    <w:p w14:paraId="4060ACFF" w14:textId="7AB83BBC" w:rsidR="00D65C47" w:rsidRDefault="00D65C47" w:rsidP="00D65C47">
      <w:pPr>
        <w:widowControl w:val="0"/>
        <w:numPr>
          <w:ilvl w:val="0"/>
          <w:numId w:val="16"/>
        </w:numPr>
      </w:pPr>
      <w:r>
        <w:t>Runner-up (3 person):</w:t>
      </w:r>
    </w:p>
    <w:p w14:paraId="632F67CC" w14:textId="08D89369" w:rsidR="00D65C47" w:rsidRPr="000E3A29" w:rsidRDefault="00D65C47" w:rsidP="00D65C47">
      <w:pPr>
        <w:widowControl w:val="0"/>
        <w:numPr>
          <w:ilvl w:val="0"/>
          <w:numId w:val="16"/>
        </w:numPr>
      </w:pPr>
      <w:r>
        <w:t>Third place (4 person):</w:t>
      </w:r>
    </w:p>
    <w:p w14:paraId="65F754BC" w14:textId="77777777" w:rsidR="009271DA" w:rsidRPr="000E3A29" w:rsidRDefault="009271DA" w:rsidP="008628F2"/>
    <w:p w14:paraId="7418405A" w14:textId="77777777" w:rsidR="00D24023" w:rsidRDefault="00D24023" w:rsidP="008628F2">
      <w:pPr>
        <w:pStyle w:val="Style13"/>
        <w:jc w:val="both"/>
      </w:pPr>
    </w:p>
    <w:p w14:paraId="52C73D18" w14:textId="77777777" w:rsidR="002D0630" w:rsidRDefault="002D0630" w:rsidP="008628F2">
      <w:pPr>
        <w:pStyle w:val="Style13"/>
        <w:jc w:val="both"/>
      </w:pPr>
    </w:p>
    <w:p w14:paraId="7B659B46" w14:textId="69D60387" w:rsidR="002D0630" w:rsidRDefault="002D0630" w:rsidP="008628F2">
      <w:pPr>
        <w:pStyle w:val="Style13"/>
        <w:jc w:val="both"/>
      </w:pPr>
      <w:r>
        <w:rPr>
          <w:rFonts w:hint="eastAsia"/>
        </w:rPr>
        <w:t>报名方式</w:t>
      </w:r>
      <w:r>
        <w:rPr>
          <w:rFonts w:hint="eastAsia"/>
        </w:rPr>
        <w:t xml:space="preserve"> </w:t>
      </w:r>
      <w:r>
        <w:rPr>
          <w:rFonts w:hint="eastAsia"/>
        </w:rPr>
        <w:t>请填一下表格或扫表</w:t>
      </w:r>
      <w:r>
        <w:rPr>
          <w:rFonts w:hint="eastAsia"/>
        </w:rPr>
        <w:t xml:space="preserve"> </w:t>
      </w:r>
    </w:p>
    <w:p w14:paraId="3B3B4BC9" w14:textId="6B7EA30B" w:rsidR="002D0630" w:rsidRDefault="002D0630" w:rsidP="008628F2">
      <w:pPr>
        <w:pStyle w:val="Style13"/>
        <w:jc w:val="both"/>
      </w:pPr>
      <w:r>
        <w:rPr>
          <w:rFonts w:hint="eastAsia"/>
        </w:rPr>
        <w:t xml:space="preserve">To join the </w:t>
      </w:r>
      <w:r>
        <w:t>competi</w:t>
      </w:r>
      <w:r>
        <w:rPr>
          <w:rFonts w:hint="eastAsia"/>
        </w:rPr>
        <w:t>tion please click the link or scan the code</w:t>
      </w:r>
    </w:p>
    <w:p w14:paraId="3D943177" w14:textId="77777777" w:rsidR="002D0630" w:rsidRDefault="002D0630" w:rsidP="008628F2">
      <w:pPr>
        <w:pStyle w:val="Style13"/>
        <w:jc w:val="both"/>
      </w:pPr>
    </w:p>
    <w:p w14:paraId="534F14DE" w14:textId="5E76C8BA" w:rsidR="002D0630" w:rsidRDefault="002D0630" w:rsidP="008628F2">
      <w:pPr>
        <w:pStyle w:val="Style13"/>
        <w:jc w:val="both"/>
      </w:pPr>
      <w:hyperlink r:id="rId5" w:history="1">
        <w:r w:rsidRPr="00D167B2">
          <w:rPr>
            <w:rStyle w:val="Hyperlink"/>
          </w:rPr>
          <w:t>https://forms.office.com/Pages/ResponsePage.aspx?id=yMXEBIzbsUGIK1u3lIQF6DdMHoci-nBHgDKLb5ELo1RUOTM0M1BWWVpNVE1ZWTJQSVA0N1FFNEU5Ty4u</w:t>
        </w:r>
      </w:hyperlink>
    </w:p>
    <w:p w14:paraId="05C6C072" w14:textId="77777777" w:rsidR="002D0630" w:rsidRDefault="002D0630" w:rsidP="008628F2">
      <w:pPr>
        <w:pStyle w:val="Style13"/>
        <w:jc w:val="both"/>
      </w:pPr>
    </w:p>
    <w:p w14:paraId="6F66AC59" w14:textId="073E172D" w:rsidR="00406503" w:rsidRDefault="002D0630" w:rsidP="008628F2">
      <w:pPr>
        <w:pStyle w:val="Style13"/>
        <w:jc w:val="both"/>
      </w:pPr>
      <w:r>
        <w:rPr>
          <w:rFonts w:hint="eastAsia"/>
          <w:noProof/>
        </w:rPr>
        <w:drawing>
          <wp:inline distT="0" distB="0" distL="0" distR="0" wp14:anchorId="01B29B62" wp14:editId="5DA1120B">
            <wp:extent cx="5731510" cy="5731510"/>
            <wp:effectExtent l="0" t="0" r="0" b="0"/>
            <wp:docPr id="1589519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519140" name="Picture 1589519140"/>
                    <pic:cNvPicPr/>
                  </pic:nvPicPr>
                  <pic:blipFill>
                    <a:blip r:embed="rId6">
                      <a:extLst>
                        <a:ext uri="{28A0092B-C50C-407E-A947-70E740481C1C}">
                          <a14:useLocalDpi xmlns:a14="http://schemas.microsoft.com/office/drawing/2010/main" val="0"/>
                        </a:ext>
                      </a:extLst>
                    </a:blip>
                    <a:stretch>
                      <a:fillRect/>
                    </a:stretch>
                  </pic:blipFill>
                  <pic:spPr>
                    <a:xfrm>
                      <a:off x="0" y="0"/>
                      <a:ext cx="5731510" cy="5731510"/>
                    </a:xfrm>
                    <a:prstGeom prst="rect">
                      <a:avLst/>
                    </a:prstGeom>
                  </pic:spPr>
                </pic:pic>
              </a:graphicData>
            </a:graphic>
          </wp:inline>
        </w:drawing>
      </w:r>
    </w:p>
    <w:sectPr w:rsidR="00406503">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4643"/>
    <w:multiLevelType w:val="hybridMultilevel"/>
    <w:tmpl w:val="2A1613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AD6F13"/>
    <w:multiLevelType w:val="hybridMultilevel"/>
    <w:tmpl w:val="01626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67E8F"/>
    <w:multiLevelType w:val="multilevel"/>
    <w:tmpl w:val="18DE6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BB60B2"/>
    <w:multiLevelType w:val="multilevel"/>
    <w:tmpl w:val="B17A3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D060FA"/>
    <w:multiLevelType w:val="multilevel"/>
    <w:tmpl w:val="47B2E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F93B88"/>
    <w:multiLevelType w:val="multilevel"/>
    <w:tmpl w:val="02CA6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06634B"/>
    <w:multiLevelType w:val="hybridMultilevel"/>
    <w:tmpl w:val="0E949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FB42FA"/>
    <w:multiLevelType w:val="multilevel"/>
    <w:tmpl w:val="75E2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FB332E"/>
    <w:multiLevelType w:val="multilevel"/>
    <w:tmpl w:val="6574A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FA5CD8"/>
    <w:multiLevelType w:val="multilevel"/>
    <w:tmpl w:val="4044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715444"/>
    <w:multiLevelType w:val="hybridMultilevel"/>
    <w:tmpl w:val="F08CA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3339E7"/>
    <w:multiLevelType w:val="hybridMultilevel"/>
    <w:tmpl w:val="E0244C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98B3685"/>
    <w:multiLevelType w:val="hybridMultilevel"/>
    <w:tmpl w:val="91063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074CD5"/>
    <w:multiLevelType w:val="hybridMultilevel"/>
    <w:tmpl w:val="A2E6D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307539"/>
    <w:multiLevelType w:val="hybridMultilevel"/>
    <w:tmpl w:val="CA48A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3E03DA"/>
    <w:multiLevelType w:val="hybridMultilevel"/>
    <w:tmpl w:val="D88E71D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6" w15:restartNumberingAfterBreak="0">
    <w:nsid w:val="483F643A"/>
    <w:multiLevelType w:val="multilevel"/>
    <w:tmpl w:val="BACE1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4F7556"/>
    <w:multiLevelType w:val="multilevel"/>
    <w:tmpl w:val="55147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E52F7B"/>
    <w:multiLevelType w:val="multilevel"/>
    <w:tmpl w:val="5F444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0011E4"/>
    <w:multiLevelType w:val="hybridMultilevel"/>
    <w:tmpl w:val="BCFA3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8F01B0"/>
    <w:multiLevelType w:val="multilevel"/>
    <w:tmpl w:val="BABEA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6C3002"/>
    <w:multiLevelType w:val="multilevel"/>
    <w:tmpl w:val="EE18A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BB66B7"/>
    <w:multiLevelType w:val="multilevel"/>
    <w:tmpl w:val="91363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D81298"/>
    <w:multiLevelType w:val="multilevel"/>
    <w:tmpl w:val="EF0C52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AD647F"/>
    <w:multiLevelType w:val="hybridMultilevel"/>
    <w:tmpl w:val="6416FF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E5B6E6E"/>
    <w:multiLevelType w:val="hybridMultilevel"/>
    <w:tmpl w:val="A28432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4D325A6"/>
    <w:multiLevelType w:val="multilevel"/>
    <w:tmpl w:val="0A08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A33031"/>
    <w:multiLevelType w:val="hybridMultilevel"/>
    <w:tmpl w:val="F1DE8A4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8" w15:restartNumberingAfterBreak="0">
    <w:nsid w:val="782E4BBB"/>
    <w:multiLevelType w:val="hybridMultilevel"/>
    <w:tmpl w:val="853E45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8E12A14"/>
    <w:multiLevelType w:val="multilevel"/>
    <w:tmpl w:val="0DDAA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5C5431"/>
    <w:multiLevelType w:val="hybridMultilevel"/>
    <w:tmpl w:val="6A9A0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CB55A5"/>
    <w:multiLevelType w:val="hybridMultilevel"/>
    <w:tmpl w:val="B276F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7643481">
    <w:abstractNumId w:val="29"/>
  </w:num>
  <w:num w:numId="2" w16cid:durableId="167914249">
    <w:abstractNumId w:val="16"/>
  </w:num>
  <w:num w:numId="3" w16cid:durableId="1353844341">
    <w:abstractNumId w:val="9"/>
  </w:num>
  <w:num w:numId="4" w16cid:durableId="1828007964">
    <w:abstractNumId w:val="8"/>
  </w:num>
  <w:num w:numId="5" w16cid:durableId="390278284">
    <w:abstractNumId w:val="20"/>
  </w:num>
  <w:num w:numId="6" w16cid:durableId="669792813">
    <w:abstractNumId w:val="21"/>
  </w:num>
  <w:num w:numId="7" w16cid:durableId="1197886403">
    <w:abstractNumId w:val="17"/>
  </w:num>
  <w:num w:numId="8" w16cid:durableId="690841380">
    <w:abstractNumId w:val="3"/>
  </w:num>
  <w:num w:numId="9" w16cid:durableId="1437139190">
    <w:abstractNumId w:val="5"/>
  </w:num>
  <w:num w:numId="10" w16cid:durableId="948968636">
    <w:abstractNumId w:val="23"/>
  </w:num>
  <w:num w:numId="11" w16cid:durableId="797187186">
    <w:abstractNumId w:val="26"/>
  </w:num>
  <w:num w:numId="12" w16cid:durableId="1663848168">
    <w:abstractNumId w:val="18"/>
  </w:num>
  <w:num w:numId="13" w16cid:durableId="1940478887">
    <w:abstractNumId w:val="4"/>
  </w:num>
  <w:num w:numId="14" w16cid:durableId="1689327475">
    <w:abstractNumId w:val="22"/>
  </w:num>
  <w:num w:numId="15" w16cid:durableId="977495565">
    <w:abstractNumId w:val="2"/>
  </w:num>
  <w:num w:numId="16" w16cid:durableId="842747821">
    <w:abstractNumId w:val="7"/>
  </w:num>
  <w:num w:numId="17" w16cid:durableId="29191294">
    <w:abstractNumId w:val="28"/>
  </w:num>
  <w:num w:numId="18" w16cid:durableId="1012756640">
    <w:abstractNumId w:val="24"/>
  </w:num>
  <w:num w:numId="19" w16cid:durableId="1095903784">
    <w:abstractNumId w:val="25"/>
  </w:num>
  <w:num w:numId="20" w16cid:durableId="2058509155">
    <w:abstractNumId w:val="11"/>
  </w:num>
  <w:num w:numId="21" w16cid:durableId="526916729">
    <w:abstractNumId w:val="0"/>
  </w:num>
  <w:num w:numId="22" w16cid:durableId="901989575">
    <w:abstractNumId w:val="19"/>
  </w:num>
  <w:num w:numId="23" w16cid:durableId="605892978">
    <w:abstractNumId w:val="10"/>
  </w:num>
  <w:num w:numId="24" w16cid:durableId="64687889">
    <w:abstractNumId w:val="6"/>
  </w:num>
  <w:num w:numId="25" w16cid:durableId="886795325">
    <w:abstractNumId w:val="12"/>
  </w:num>
  <w:num w:numId="26" w16cid:durableId="1669819700">
    <w:abstractNumId w:val="14"/>
  </w:num>
  <w:num w:numId="27" w16cid:durableId="2104102892">
    <w:abstractNumId w:val="30"/>
  </w:num>
  <w:num w:numId="28" w16cid:durableId="1342203878">
    <w:abstractNumId w:val="15"/>
  </w:num>
  <w:num w:numId="29" w16cid:durableId="476730673">
    <w:abstractNumId w:val="31"/>
  </w:num>
  <w:num w:numId="30" w16cid:durableId="1145004962">
    <w:abstractNumId w:val="1"/>
  </w:num>
  <w:num w:numId="31" w16cid:durableId="420445263">
    <w:abstractNumId w:val="13"/>
  </w:num>
  <w:num w:numId="32" w16cid:durableId="61953869">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03"/>
    <w:rsid w:val="00105776"/>
    <w:rsid w:val="001B3EDA"/>
    <w:rsid w:val="001F3200"/>
    <w:rsid w:val="0027730C"/>
    <w:rsid w:val="002D0630"/>
    <w:rsid w:val="00321579"/>
    <w:rsid w:val="003C68FE"/>
    <w:rsid w:val="00406503"/>
    <w:rsid w:val="00437908"/>
    <w:rsid w:val="0050711E"/>
    <w:rsid w:val="005C606D"/>
    <w:rsid w:val="005E5A50"/>
    <w:rsid w:val="006579FC"/>
    <w:rsid w:val="006B1D50"/>
    <w:rsid w:val="007051C1"/>
    <w:rsid w:val="007A72C5"/>
    <w:rsid w:val="00837D25"/>
    <w:rsid w:val="008628F2"/>
    <w:rsid w:val="0089133B"/>
    <w:rsid w:val="008942D7"/>
    <w:rsid w:val="008B0798"/>
    <w:rsid w:val="008B0907"/>
    <w:rsid w:val="009271DA"/>
    <w:rsid w:val="00980E8B"/>
    <w:rsid w:val="009A3497"/>
    <w:rsid w:val="00A60647"/>
    <w:rsid w:val="00B220E1"/>
    <w:rsid w:val="00B75144"/>
    <w:rsid w:val="00BB06F3"/>
    <w:rsid w:val="00BF6090"/>
    <w:rsid w:val="00C31909"/>
    <w:rsid w:val="00C32D8A"/>
    <w:rsid w:val="00C54AB1"/>
    <w:rsid w:val="00CD3385"/>
    <w:rsid w:val="00D0007C"/>
    <w:rsid w:val="00D00224"/>
    <w:rsid w:val="00D24023"/>
    <w:rsid w:val="00D65C47"/>
    <w:rsid w:val="00DA19D5"/>
    <w:rsid w:val="00DF5CEE"/>
    <w:rsid w:val="00E27524"/>
    <w:rsid w:val="00F378E0"/>
    <w:rsid w:val="00F7713A"/>
    <w:rsid w:val="00F80EE8"/>
    <w:rsid w:val="00F9462E"/>
    <w:rsid w:val="00FD5BF8"/>
    <w:rsid w:val="58322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6ABFB"/>
  <w15:docId w15:val="{6F4E7940-F105-4137-BF1C-AC54DC04D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jc w:val="both"/>
    </w:pPr>
    <w:rPr>
      <w:sz w:val="21"/>
      <w:szCs w:val="22"/>
    </w:rPr>
  </w:style>
  <w:style w:type="paragraph" w:styleId="Heading2">
    <w:name w:val="heading 2"/>
    <w:next w:val="Normal"/>
    <w:qFormat/>
    <w:pPr>
      <w:spacing w:before="320" w:after="120" w:line="288" w:lineRule="auto"/>
      <w:outlineLvl w:val="1"/>
    </w:pPr>
    <w:rPr>
      <w:rFonts w:ascii="Arial" w:eastAsia="DengXian" w:hAnsi="Arial" w:cs="Arial"/>
      <w:b/>
      <w:bCs/>
      <w:sz w:val="32"/>
      <w:szCs w:val="32"/>
    </w:rPr>
  </w:style>
  <w:style w:type="paragraph" w:styleId="Heading3">
    <w:name w:val="heading 3"/>
    <w:next w:val="Normal"/>
    <w:qFormat/>
    <w:pPr>
      <w:spacing w:before="300" w:after="120" w:line="288" w:lineRule="auto"/>
      <w:outlineLvl w:val="2"/>
    </w:pPr>
    <w:rPr>
      <w:rFonts w:ascii="Arial" w:eastAsia="DengXian" w:hAnsi="Arial" w:cs="Arial"/>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link w:val="FootnoteTextChar"/>
    <w:uiPriority w:val="99"/>
  </w:style>
  <w:style w:type="paragraph" w:styleId="Title">
    <w:name w:val="Title"/>
    <w:qFormat/>
    <w:pPr>
      <w:spacing w:before="480" w:after="480" w:line="288" w:lineRule="auto"/>
    </w:pPr>
    <w:rPr>
      <w:rFonts w:ascii="Arial" w:eastAsia="DengXian" w:hAnsi="Arial" w:cs="Arial"/>
      <w:b/>
      <w:bCs/>
      <w:sz w:val="52"/>
      <w:szCs w:val="52"/>
    </w:rPr>
  </w:style>
  <w:style w:type="character" w:styleId="Hyperlink">
    <w:name w:val="Hyperlink"/>
    <w:uiPriority w:val="99"/>
    <w:rPr>
      <w:color w:val="0563C1"/>
      <w:u w:val="single"/>
    </w:rPr>
  </w:style>
  <w:style w:type="character" w:styleId="FootnoteReference">
    <w:name w:val="footnote reference"/>
    <w:uiPriority w:val="99"/>
    <w:rPr>
      <w:vertAlign w:val="superscript"/>
    </w:rPr>
  </w:style>
  <w:style w:type="paragraph" w:customStyle="1" w:styleId="Heading11">
    <w:name w:val="Heading 11"/>
    <w:qFormat/>
    <w:pPr>
      <w:spacing w:before="380" w:after="140" w:line="288" w:lineRule="auto"/>
      <w:outlineLvl w:val="0"/>
    </w:pPr>
    <w:rPr>
      <w:rFonts w:ascii="Arial" w:eastAsia="DengXian" w:hAnsi="Arial" w:cs="Arial"/>
      <w:b/>
      <w:bCs/>
      <w:sz w:val="36"/>
      <w:szCs w:val="36"/>
    </w:rPr>
  </w:style>
  <w:style w:type="paragraph" w:customStyle="1" w:styleId="Heading21">
    <w:name w:val="Heading 21"/>
    <w:qFormat/>
    <w:pPr>
      <w:spacing w:before="320" w:after="120" w:line="288" w:lineRule="auto"/>
      <w:outlineLvl w:val="1"/>
    </w:pPr>
    <w:rPr>
      <w:rFonts w:ascii="Arial" w:eastAsia="DengXian" w:hAnsi="Arial" w:cs="Arial"/>
      <w:b/>
      <w:bCs/>
      <w:sz w:val="32"/>
      <w:szCs w:val="32"/>
    </w:rPr>
  </w:style>
  <w:style w:type="paragraph" w:customStyle="1" w:styleId="Heading31">
    <w:name w:val="Heading 31"/>
    <w:qFormat/>
    <w:pPr>
      <w:spacing w:before="300" w:after="120" w:line="288" w:lineRule="auto"/>
      <w:outlineLvl w:val="2"/>
    </w:pPr>
    <w:rPr>
      <w:rFonts w:ascii="Arial" w:eastAsia="DengXian" w:hAnsi="Arial" w:cs="Arial"/>
      <w:b/>
      <w:bCs/>
      <w:sz w:val="30"/>
      <w:szCs w:val="30"/>
    </w:rPr>
  </w:style>
  <w:style w:type="paragraph" w:customStyle="1" w:styleId="Heading41">
    <w:name w:val="Heading 41"/>
    <w:qFormat/>
    <w:pPr>
      <w:spacing w:before="260" w:after="120" w:line="288" w:lineRule="auto"/>
      <w:outlineLvl w:val="3"/>
    </w:pPr>
    <w:rPr>
      <w:rFonts w:ascii="Arial" w:eastAsia="DengXian" w:hAnsi="Arial" w:cs="Arial"/>
      <w:b/>
      <w:bCs/>
      <w:sz w:val="28"/>
      <w:szCs w:val="28"/>
    </w:rPr>
  </w:style>
  <w:style w:type="paragraph" w:customStyle="1" w:styleId="Heading51">
    <w:name w:val="Heading 51"/>
    <w:qFormat/>
    <w:pPr>
      <w:spacing w:before="240" w:after="120" w:line="288" w:lineRule="auto"/>
      <w:outlineLvl w:val="4"/>
    </w:pPr>
    <w:rPr>
      <w:rFonts w:ascii="Arial" w:eastAsia="DengXian" w:hAnsi="Arial" w:cs="Arial"/>
      <w:b/>
      <w:bCs/>
      <w:sz w:val="24"/>
      <w:szCs w:val="24"/>
    </w:rPr>
  </w:style>
  <w:style w:type="paragraph" w:customStyle="1" w:styleId="Heading61">
    <w:name w:val="Heading 61"/>
    <w:qFormat/>
    <w:pPr>
      <w:spacing w:before="240" w:after="120" w:line="288" w:lineRule="auto"/>
      <w:outlineLvl w:val="5"/>
    </w:pPr>
    <w:rPr>
      <w:rFonts w:ascii="Arial" w:eastAsia="DengXian" w:hAnsi="Arial" w:cs="Arial"/>
      <w:b/>
      <w:bCs/>
      <w:sz w:val="24"/>
      <w:szCs w:val="24"/>
    </w:rPr>
  </w:style>
  <w:style w:type="paragraph" w:customStyle="1" w:styleId="Strong703dfd2e-4735-4230-816d-42dfb57c4800">
    <w:name w:val="Strong_703dfd2e-4735-4230-816d-42dfb57c4800"/>
    <w:qFormat/>
    <w:rPr>
      <w:b/>
      <w:bCs/>
      <w:sz w:val="21"/>
      <w:szCs w:val="22"/>
    </w:rPr>
  </w:style>
  <w:style w:type="paragraph" w:customStyle="1" w:styleId="ListParagraph1">
    <w:name w:val="List Paragraph1"/>
    <w:qFormat/>
    <w:rPr>
      <w:sz w:val="21"/>
      <w:szCs w:val="22"/>
    </w:rPr>
  </w:style>
  <w:style w:type="character" w:customStyle="1" w:styleId="FootnoteTextChar">
    <w:name w:val="Footnote Text Char"/>
    <w:link w:val="FootnoteText"/>
    <w:uiPriority w:val="99"/>
    <w:rPr>
      <w:sz w:val="20"/>
      <w:szCs w:val="20"/>
    </w:rPr>
  </w:style>
  <w:style w:type="paragraph" w:customStyle="1" w:styleId="Style13">
    <w:name w:val="_Style 13"/>
    <w:pPr>
      <w:spacing w:before="120" w:after="120" w:line="288" w:lineRule="auto"/>
    </w:pPr>
    <w:rPr>
      <w:rFonts w:ascii="Arial" w:eastAsia="DengXian" w:hAnsi="Arial" w:cs="Arial"/>
      <w:sz w:val="22"/>
      <w:szCs w:val="22"/>
    </w:rPr>
  </w:style>
  <w:style w:type="paragraph" w:customStyle="1" w:styleId="Style14">
    <w:name w:val="_Style 14"/>
    <w:pPr>
      <w:spacing w:before="120" w:after="120" w:line="288" w:lineRule="auto"/>
    </w:pPr>
    <w:rPr>
      <w:rFonts w:ascii="Arial" w:eastAsia="DengXian" w:hAnsi="Arial" w:cs="Arial"/>
      <w:color w:val="8F959E"/>
      <w:sz w:val="22"/>
      <w:szCs w:val="22"/>
    </w:rPr>
  </w:style>
  <w:style w:type="paragraph" w:styleId="ListParagraph">
    <w:name w:val="List Paragraph"/>
    <w:basedOn w:val="Normal"/>
    <w:uiPriority w:val="99"/>
    <w:unhideWhenUsed/>
    <w:rsid w:val="00C31909"/>
    <w:pPr>
      <w:ind w:left="720"/>
      <w:contextualSpacing/>
    </w:pPr>
  </w:style>
  <w:style w:type="character" w:styleId="UnresolvedMention">
    <w:name w:val="Unresolved Mention"/>
    <w:basedOn w:val="DefaultParagraphFont"/>
    <w:uiPriority w:val="99"/>
    <w:semiHidden/>
    <w:unhideWhenUsed/>
    <w:rsid w:val="002D06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https://forms.office.com/Pages/ResponsePage.aspx?id=yMXEBIzbsUGIK1u3lIQF6DdMHoci-nBHgDKLb5ELo1RUOTM0M1BWWVpNVE1ZWTJQSVA0N1FFNEU5Ty4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8</Pages>
  <Words>1562</Words>
  <Characters>8910</Characters>
  <Application>Microsoft Office Word</Application>
  <DocSecurity>0</DocSecurity>
  <Lines>74</Lines>
  <Paragraphs>20</Paragraphs>
  <ScaleCrop>false</ScaleCrop>
  <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Yixiang Xu</cp:lastModifiedBy>
  <cp:revision>45</cp:revision>
  <dcterms:created xsi:type="dcterms:W3CDTF">2025-10-14T16:49:00Z</dcterms:created>
  <dcterms:modified xsi:type="dcterms:W3CDTF">2025-10-22T06:45:00Z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5d3d9bf403854c898171f3509e1d8845_23</vt:lpwstr>
  </property>
  <property fmtid="{D5CDD505-2E9C-101B-9397-08002B2CF9AE}" pid="3" name="KSOProductBuildVer">
    <vt:lpwstr>2052-12.1.0.22529</vt:lpwstr>
  </property>
  <property fmtid="{D5CDD505-2E9C-101B-9397-08002B2CF9AE}" pid="4" name="KSOTemplateDocerSaveRecord">
    <vt:lpwstr>eyJoZGlkIjoiMjYyNDcyNDdjMzdiMWQ5NWEwZjY4NTc3MDZmOWIzOTUiLCJ1c2VySWQiOiIxMjAxMzgwNTgwIn0=</vt:lpwstr>
  </property>
</Properties>
</file>